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黑体" w:hAnsi="黑体" w:eastAsia="黑体" w:cs="黑体"/>
          <w:color w:val="000000"/>
          <w:sz w:val="24"/>
          <w:szCs w:val="32"/>
        </w:rPr>
      </w:pPr>
    </w:p>
    <w:p>
      <w:pPr>
        <w:spacing w:line="700" w:lineRule="exact"/>
        <w:jc w:val="center"/>
        <w:rPr>
          <w:rFonts w:hint="eastAsia" w:ascii="黑体" w:hAnsi="黑体" w:eastAsia="黑体" w:cs="黑体"/>
          <w:color w:val="000000"/>
          <w:sz w:val="44"/>
          <w:szCs w:val="44"/>
        </w:rPr>
      </w:pPr>
      <w:r>
        <w:rPr>
          <w:rFonts w:hint="eastAsia" w:ascii="黑体" w:hAnsi="黑体" w:eastAsia="黑体" w:cs="黑体"/>
          <w:color w:val="000000"/>
          <w:sz w:val="44"/>
          <w:szCs w:val="44"/>
        </w:rPr>
        <w:t>海丰县综合交通运输体系</w:t>
      </w:r>
    </w:p>
    <w:p>
      <w:pPr>
        <w:spacing w:line="700" w:lineRule="exact"/>
        <w:jc w:val="center"/>
        <w:rPr>
          <w:rFonts w:hint="eastAsia" w:ascii="黑体" w:hAnsi="黑体" w:eastAsia="黑体" w:cs="黑体"/>
          <w:color w:val="000000"/>
          <w:sz w:val="44"/>
          <w:szCs w:val="44"/>
        </w:rPr>
      </w:pPr>
      <w:r>
        <w:rPr>
          <w:rFonts w:hint="eastAsia" w:ascii="黑体" w:hAnsi="黑体" w:eastAsia="黑体" w:cs="黑体"/>
          <w:color w:val="000000"/>
          <w:sz w:val="44"/>
          <w:szCs w:val="44"/>
        </w:rPr>
        <w:t>“十四五”发展规划</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p>
    <w:p>
      <w:pPr>
        <w:spacing w:line="700" w:lineRule="exact"/>
        <w:jc w:val="center"/>
        <w:rPr>
          <w:rFonts w:hint="eastAsia" w:ascii="宋体" w:hAnsi="宋体" w:eastAsia="宋体" w:cs="宋体"/>
          <w:b w:val="0"/>
          <w:bCs w:val="0"/>
          <w:color w:val="000000"/>
          <w:sz w:val="32"/>
          <w:szCs w:val="32"/>
        </w:rPr>
      </w:pPr>
      <w:r>
        <w:rPr>
          <w:rFonts w:hint="eastAsia" w:ascii="宋体" w:hAnsi="宋体" w:eastAsia="宋体" w:cs="宋体"/>
          <w:b w:val="0"/>
          <w:bCs w:val="0"/>
          <w:color w:val="000000"/>
          <w:sz w:val="32"/>
          <w:szCs w:val="32"/>
        </w:rPr>
        <w:t>（报批稿）</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p>
    <w:p>
      <w:pPr>
        <w:pageBreakBefore w:val="0"/>
        <w:widowControl w:val="0"/>
        <w:kinsoku/>
        <w:wordWrap/>
        <w:overflowPunct/>
        <w:topLinePunct w:val="0"/>
        <w:autoSpaceDE/>
        <w:autoSpaceDN/>
        <w:bidi w:val="0"/>
        <w:snapToGrid/>
        <w:spacing w:line="540" w:lineRule="exact"/>
        <w:ind w:left="0" w:leftChars="0" w:firstLine="0" w:firstLineChars="0"/>
        <w:jc w:val="center"/>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海丰县交通运输局</w:t>
      </w:r>
    </w:p>
    <w:p>
      <w:pPr>
        <w:pageBreakBefore w:val="0"/>
        <w:widowControl w:val="0"/>
        <w:kinsoku/>
        <w:wordWrap/>
        <w:overflowPunct/>
        <w:topLinePunct w:val="0"/>
        <w:autoSpaceDE/>
        <w:autoSpaceDN/>
        <w:bidi w:val="0"/>
        <w:snapToGrid/>
        <w:spacing w:line="540" w:lineRule="exact"/>
        <w:ind w:left="0" w:leftChars="0" w:firstLine="0" w:firstLineChars="0"/>
        <w:jc w:val="center"/>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广东省交通规划设计研究院集团股份有限公司</w:t>
      </w:r>
    </w:p>
    <w:p>
      <w:pPr>
        <w:pageBreakBefore w:val="0"/>
        <w:widowControl w:val="0"/>
        <w:kinsoku/>
        <w:wordWrap/>
        <w:overflowPunct/>
        <w:topLinePunct w:val="0"/>
        <w:autoSpaceDE/>
        <w:autoSpaceDN/>
        <w:bidi w:val="0"/>
        <w:snapToGrid/>
        <w:spacing w:line="540" w:lineRule="exact"/>
        <w:ind w:left="0" w:leftChars="0" w:firstLine="0" w:firstLineChars="0"/>
        <w:jc w:val="center"/>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二〇二三年七月</w:t>
      </w:r>
    </w:p>
    <w:p>
      <w:pPr>
        <w:spacing w:line="700" w:lineRule="exact"/>
        <w:jc w:val="center"/>
        <w:rPr>
          <w:rFonts w:hint="eastAsia" w:ascii="宋体" w:hAnsi="宋体" w:eastAsia="宋体" w:cs="宋体"/>
          <w:color w:val="000000"/>
          <w:sz w:val="44"/>
          <w:szCs w:val="44"/>
        </w:rPr>
      </w:pPr>
      <w:r>
        <w:rPr>
          <w:rFonts w:hint="eastAsia" w:ascii="宋体" w:hAnsi="宋体" w:eastAsia="宋体" w:cs="宋体"/>
          <w:color w:val="000000"/>
          <w:sz w:val="44"/>
          <w:szCs w:val="44"/>
        </w:rPr>
        <w:t>前  言</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十四五”时期是我国进入新时代、开启全面建设社会主义现代化国家新征程的重要阶段，是广东省携手港澳建成具有全球影响力的国际科技创新中心、成为新发展格局的战略支点的加速期，也是海丰县融入粤港澳大湾区、深圳先行示范区，建设成为全国新型城镇化建设示范县、沿海经济带靓丽明珠排头兵的关键时期。“十四五”综合交通运输规划是进入新时代、开启全面建设社会主义现代化国家新征程的五年规划，是全面推进交通强国、交通强省建设的第一个五年规划，也是推动交通运输高质量发展、贯彻落实中央完善规划体系、加强规划衔接要求的五年规划。</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制定《海丰县综合交通运输体系“十四五”发展规划》（以下简称《规划》）意义重大。《规划》以习近平新时代中国特色社会主义思想为指导，以国家和省、市等上位规划和重大政策为指引，以公路、铁路、航空等交通运输方式为对象，围绕奋力当好汕尾建设沿海经济带靓丽明珠排头兵、奋进全国“百强县”的重要部署，以全面接轨深圳、全力融入“双区”、携手汕潮揭联动发展新格局为战略方向，抢抓时代机遇，提出了海丰县“十四五”期间综合交通运输发展总体目标、总体思路，明确了主要任务、保障措施，是今后五年全县综合交通发展的总体部署和统筹安排，是编制交通专项规划、确定重大项目、实施建设计划的基本依据，对优化全县综合交通资源配置，促进全县综合交通协调发展具有重要的指导作用。</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p>
    <w:p>
      <w:pPr>
        <w:rPr>
          <w:rFonts w:hint="eastAsia" w:ascii="宋体" w:hAnsi="宋体" w:eastAsia="宋体" w:cs="宋体"/>
          <w:color w:val="000000"/>
          <w:sz w:val="24"/>
          <w:szCs w:val="32"/>
        </w:rPr>
      </w:pPr>
      <w:r>
        <w:rPr>
          <w:rFonts w:hint="eastAsia" w:ascii="宋体" w:hAnsi="宋体" w:eastAsia="宋体" w:cs="宋体"/>
          <w:color w:val="000000"/>
          <w:sz w:val="24"/>
          <w:szCs w:val="32"/>
        </w:rPr>
        <w:br w:type="page"/>
      </w:r>
    </w:p>
    <w:p>
      <w:pPr>
        <w:spacing w:line="700" w:lineRule="exact"/>
        <w:jc w:val="center"/>
        <w:rPr>
          <w:rFonts w:hint="eastAsia" w:ascii="宋体" w:hAnsi="宋体" w:eastAsia="宋体" w:cs="宋体"/>
          <w:color w:val="000000"/>
          <w:sz w:val="44"/>
          <w:szCs w:val="44"/>
        </w:rPr>
      </w:pPr>
      <w:r>
        <w:rPr>
          <w:rFonts w:hint="eastAsia" w:ascii="宋体" w:hAnsi="宋体" w:eastAsia="宋体" w:cs="宋体"/>
          <w:color w:val="000000"/>
          <w:sz w:val="44"/>
          <w:szCs w:val="44"/>
        </w:rPr>
        <w:t>目  录</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p>
    <w:p>
      <w:pPr>
        <w:pageBreakBefore w:val="0"/>
        <w:widowControl w:val="0"/>
        <w:kinsoku/>
        <w:wordWrap/>
        <w:overflowPunct/>
        <w:topLinePunct w:val="0"/>
        <w:autoSpaceDE/>
        <w:autoSpaceDN/>
        <w:bidi w:val="0"/>
        <w:snapToGrid/>
        <w:spacing w:line="540" w:lineRule="exact"/>
        <w:ind w:left="0" w:leftChars="0" w:firstLine="0" w:firstLineChars="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第一章 发展基础</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第一节 社会经济现状</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第二节 交通发展成就</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第三节 主要存在问题</w:t>
      </w:r>
      <w:r>
        <w:rPr>
          <w:rFonts w:hint="eastAsia" w:ascii="宋体" w:hAnsi="宋体" w:eastAsia="宋体" w:cs="宋体"/>
          <w:color w:val="000000"/>
          <w:sz w:val="24"/>
          <w:szCs w:val="32"/>
        </w:rPr>
        <w:tab/>
      </w:r>
    </w:p>
    <w:p>
      <w:pPr>
        <w:pageBreakBefore w:val="0"/>
        <w:widowControl w:val="0"/>
        <w:kinsoku/>
        <w:wordWrap/>
        <w:overflowPunct/>
        <w:topLinePunct w:val="0"/>
        <w:autoSpaceDE/>
        <w:autoSpaceDN/>
        <w:bidi w:val="0"/>
        <w:snapToGrid/>
        <w:spacing w:line="540" w:lineRule="exact"/>
        <w:ind w:left="0" w:leftChars="0" w:firstLine="0" w:firstLineChars="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第二章 发展形势及需求</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第一节 发展形势</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第二节 阶段特征</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第三节 发展需求</w:t>
      </w:r>
    </w:p>
    <w:p>
      <w:pPr>
        <w:pageBreakBefore w:val="0"/>
        <w:widowControl w:val="0"/>
        <w:kinsoku/>
        <w:wordWrap/>
        <w:overflowPunct/>
        <w:topLinePunct w:val="0"/>
        <w:autoSpaceDE/>
        <w:autoSpaceDN/>
        <w:bidi w:val="0"/>
        <w:snapToGrid/>
        <w:spacing w:line="540" w:lineRule="exact"/>
        <w:ind w:left="0" w:leftChars="0" w:firstLine="0" w:firstLineChars="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第三章 发展思路及目标</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第一节 指导思想</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第二节 发展原则</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第三节 发展目标</w:t>
      </w:r>
    </w:p>
    <w:p>
      <w:pPr>
        <w:pageBreakBefore w:val="0"/>
        <w:widowControl w:val="0"/>
        <w:kinsoku/>
        <w:wordWrap/>
        <w:overflowPunct/>
        <w:topLinePunct w:val="0"/>
        <w:autoSpaceDE/>
        <w:autoSpaceDN/>
        <w:bidi w:val="0"/>
        <w:snapToGrid/>
        <w:spacing w:line="540" w:lineRule="exact"/>
        <w:ind w:left="0" w:leftChars="0" w:firstLine="0" w:firstLineChars="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第四章 建设高质量基础设施体系</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第一节 建设高效互联的综合交通网络</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第二节 建设无缝衔接的综合交通枢纽</w:t>
      </w:r>
      <w:r>
        <w:rPr>
          <w:rFonts w:hint="eastAsia" w:ascii="宋体" w:hAnsi="宋体" w:eastAsia="宋体" w:cs="宋体"/>
          <w:color w:val="000000"/>
          <w:sz w:val="24"/>
          <w:szCs w:val="32"/>
        </w:rPr>
        <w:tab/>
      </w:r>
    </w:p>
    <w:p>
      <w:pPr>
        <w:pageBreakBefore w:val="0"/>
        <w:widowControl w:val="0"/>
        <w:kinsoku/>
        <w:wordWrap/>
        <w:overflowPunct/>
        <w:topLinePunct w:val="0"/>
        <w:autoSpaceDE/>
        <w:autoSpaceDN/>
        <w:bidi w:val="0"/>
        <w:snapToGrid/>
        <w:spacing w:line="540" w:lineRule="exact"/>
        <w:ind w:left="0" w:leftChars="0" w:firstLine="0" w:firstLineChars="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第五章 打造高品质运输服务体系</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第一节 打造集约高效的现代物流体系</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第二节 打造覆盖广泛的公共交通体系</w:t>
      </w:r>
    </w:p>
    <w:p>
      <w:pPr>
        <w:pageBreakBefore w:val="0"/>
        <w:widowControl w:val="0"/>
        <w:kinsoku/>
        <w:wordWrap/>
        <w:overflowPunct/>
        <w:topLinePunct w:val="0"/>
        <w:autoSpaceDE/>
        <w:autoSpaceDN/>
        <w:bidi w:val="0"/>
        <w:snapToGrid/>
        <w:spacing w:line="540" w:lineRule="exact"/>
        <w:ind w:left="0" w:leftChars="0" w:firstLine="0" w:firstLineChars="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第六章 构建高标准支持保障体系</w:t>
      </w:r>
      <w:r>
        <w:rPr>
          <w:rFonts w:hint="eastAsia" w:ascii="宋体" w:hAnsi="宋体" w:eastAsia="宋体" w:cs="宋体"/>
          <w:color w:val="000000"/>
          <w:sz w:val="24"/>
          <w:szCs w:val="32"/>
        </w:rPr>
        <w:tab/>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第一节 发展先进可靠的现代治理体系</w:t>
      </w:r>
      <w:r>
        <w:rPr>
          <w:rFonts w:hint="eastAsia" w:ascii="宋体" w:hAnsi="宋体" w:eastAsia="宋体" w:cs="宋体"/>
          <w:color w:val="000000"/>
          <w:sz w:val="24"/>
          <w:szCs w:val="32"/>
        </w:rPr>
        <w:tab/>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第二节 发展数字创新的智慧交通体系</w:t>
      </w:r>
      <w:r>
        <w:rPr>
          <w:rFonts w:hint="eastAsia" w:ascii="宋体" w:hAnsi="宋体" w:eastAsia="宋体" w:cs="宋体"/>
          <w:color w:val="000000"/>
          <w:sz w:val="24"/>
          <w:szCs w:val="32"/>
        </w:rPr>
        <w:tab/>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第三节 发展节能生态的绿色交通体系</w:t>
      </w:r>
      <w:r>
        <w:rPr>
          <w:rFonts w:hint="eastAsia" w:ascii="宋体" w:hAnsi="宋体" w:eastAsia="宋体" w:cs="宋体"/>
          <w:color w:val="000000"/>
          <w:sz w:val="24"/>
          <w:szCs w:val="32"/>
        </w:rPr>
        <w:tab/>
      </w:r>
    </w:p>
    <w:p>
      <w:pPr>
        <w:pageBreakBefore w:val="0"/>
        <w:widowControl w:val="0"/>
        <w:kinsoku/>
        <w:wordWrap/>
        <w:overflowPunct/>
        <w:topLinePunct w:val="0"/>
        <w:autoSpaceDE/>
        <w:autoSpaceDN/>
        <w:bidi w:val="0"/>
        <w:snapToGrid/>
        <w:spacing w:line="540" w:lineRule="exact"/>
        <w:ind w:left="0" w:leftChars="0" w:firstLine="0" w:firstLineChars="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第七章 环境影响评价</w:t>
      </w:r>
      <w:r>
        <w:rPr>
          <w:rFonts w:hint="eastAsia" w:ascii="宋体" w:hAnsi="宋体" w:eastAsia="宋体" w:cs="宋体"/>
          <w:color w:val="000000"/>
          <w:sz w:val="24"/>
          <w:szCs w:val="32"/>
        </w:rPr>
        <w:tab/>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第一节 环境影响识别分析</w:t>
      </w:r>
      <w:r>
        <w:rPr>
          <w:rFonts w:hint="eastAsia" w:ascii="宋体" w:hAnsi="宋体" w:eastAsia="宋体" w:cs="宋体"/>
          <w:color w:val="000000"/>
          <w:sz w:val="24"/>
          <w:szCs w:val="32"/>
        </w:rPr>
        <w:tab/>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第二节 规划实施中环境影响评价</w:t>
      </w:r>
      <w:r>
        <w:rPr>
          <w:rFonts w:hint="eastAsia" w:ascii="宋体" w:hAnsi="宋体" w:eastAsia="宋体" w:cs="宋体"/>
          <w:color w:val="000000"/>
          <w:sz w:val="24"/>
          <w:szCs w:val="32"/>
        </w:rPr>
        <w:tab/>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第三节 缓解不良影响的措施与建议</w:t>
      </w:r>
      <w:r>
        <w:rPr>
          <w:rFonts w:hint="eastAsia" w:ascii="宋体" w:hAnsi="宋体" w:eastAsia="宋体" w:cs="宋体"/>
          <w:color w:val="000000"/>
          <w:sz w:val="24"/>
          <w:szCs w:val="32"/>
        </w:rPr>
        <w:tab/>
      </w:r>
    </w:p>
    <w:p>
      <w:pPr>
        <w:pageBreakBefore w:val="0"/>
        <w:widowControl w:val="0"/>
        <w:kinsoku/>
        <w:wordWrap/>
        <w:overflowPunct/>
        <w:topLinePunct w:val="0"/>
        <w:autoSpaceDE/>
        <w:autoSpaceDN/>
        <w:bidi w:val="0"/>
        <w:snapToGrid/>
        <w:spacing w:line="540" w:lineRule="exact"/>
        <w:ind w:left="0" w:leftChars="0" w:firstLine="0" w:firstLineChars="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第八章 投资匡算</w:t>
      </w:r>
      <w:r>
        <w:rPr>
          <w:rFonts w:hint="eastAsia" w:ascii="宋体" w:hAnsi="宋体" w:eastAsia="宋体" w:cs="宋体"/>
          <w:color w:val="000000"/>
          <w:sz w:val="24"/>
          <w:szCs w:val="32"/>
        </w:rPr>
        <w:tab/>
      </w:r>
    </w:p>
    <w:p>
      <w:pPr>
        <w:pageBreakBefore w:val="0"/>
        <w:widowControl w:val="0"/>
        <w:kinsoku/>
        <w:wordWrap/>
        <w:overflowPunct/>
        <w:topLinePunct w:val="0"/>
        <w:autoSpaceDE/>
        <w:autoSpaceDN/>
        <w:bidi w:val="0"/>
        <w:snapToGrid/>
        <w:spacing w:line="540" w:lineRule="exact"/>
        <w:ind w:left="0" w:leftChars="0" w:firstLine="0" w:firstLineChars="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第九章 保障措施</w:t>
      </w:r>
      <w:r>
        <w:rPr>
          <w:rFonts w:hint="eastAsia" w:ascii="宋体" w:hAnsi="宋体" w:eastAsia="宋体" w:cs="宋体"/>
          <w:color w:val="000000"/>
          <w:sz w:val="24"/>
          <w:szCs w:val="32"/>
        </w:rPr>
        <w:tab/>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第一节 加强组织领导协调</w:t>
      </w:r>
      <w:r>
        <w:rPr>
          <w:rFonts w:hint="eastAsia" w:ascii="宋体" w:hAnsi="宋体" w:eastAsia="宋体" w:cs="宋体"/>
          <w:color w:val="000000"/>
          <w:sz w:val="24"/>
          <w:szCs w:val="32"/>
        </w:rPr>
        <w:tab/>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第二节 强化投资机制保障</w:t>
      </w:r>
      <w:r>
        <w:rPr>
          <w:rFonts w:hint="eastAsia" w:ascii="宋体" w:hAnsi="宋体" w:eastAsia="宋体" w:cs="宋体"/>
          <w:color w:val="000000"/>
          <w:sz w:val="24"/>
          <w:szCs w:val="32"/>
        </w:rPr>
        <w:tab/>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第三节 重视相关规划衔接</w:t>
      </w:r>
      <w:r>
        <w:rPr>
          <w:rFonts w:hint="eastAsia" w:ascii="宋体" w:hAnsi="宋体" w:eastAsia="宋体" w:cs="宋体"/>
          <w:color w:val="000000"/>
          <w:sz w:val="24"/>
          <w:szCs w:val="32"/>
        </w:rPr>
        <w:tab/>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第四节 注重人才队伍建设</w:t>
      </w:r>
      <w:r>
        <w:rPr>
          <w:rFonts w:hint="eastAsia" w:ascii="宋体" w:hAnsi="宋体" w:eastAsia="宋体" w:cs="宋体"/>
          <w:color w:val="000000"/>
          <w:sz w:val="24"/>
          <w:szCs w:val="32"/>
        </w:rPr>
        <w:tab/>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第五节 提升宣传引导能力</w:t>
      </w:r>
      <w:r>
        <w:rPr>
          <w:rFonts w:hint="eastAsia" w:ascii="宋体" w:hAnsi="宋体" w:eastAsia="宋体" w:cs="宋体"/>
          <w:color w:val="000000"/>
          <w:sz w:val="24"/>
          <w:szCs w:val="32"/>
        </w:rPr>
        <w:tab/>
      </w:r>
    </w:p>
    <w:p>
      <w:pPr>
        <w:pageBreakBefore w:val="0"/>
        <w:widowControl w:val="0"/>
        <w:kinsoku/>
        <w:wordWrap/>
        <w:overflowPunct/>
        <w:topLinePunct w:val="0"/>
        <w:autoSpaceDE/>
        <w:autoSpaceDN/>
        <w:bidi w:val="0"/>
        <w:snapToGrid/>
        <w:spacing w:line="540" w:lineRule="exact"/>
        <w:ind w:left="0" w:leftChars="0" w:firstLine="0" w:firstLineChars="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附  件</w:t>
      </w:r>
      <w:r>
        <w:rPr>
          <w:rFonts w:hint="eastAsia" w:ascii="宋体" w:hAnsi="宋体" w:eastAsia="宋体" w:cs="宋体"/>
          <w:color w:val="000000"/>
          <w:sz w:val="24"/>
          <w:szCs w:val="32"/>
        </w:rPr>
        <w:tab/>
      </w:r>
    </w:p>
    <w:p>
      <w:pPr>
        <w:pageBreakBefore w:val="0"/>
        <w:widowControl w:val="0"/>
        <w:kinsoku/>
        <w:wordWrap/>
        <w:overflowPunct/>
        <w:topLinePunct w:val="0"/>
        <w:autoSpaceDE/>
        <w:autoSpaceDN/>
        <w:bidi w:val="0"/>
        <w:snapToGrid/>
        <w:spacing w:line="540" w:lineRule="exact"/>
        <w:ind w:left="0" w:leftChars="0" w:firstLine="0" w:firstLineChars="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附  表</w:t>
      </w:r>
      <w:r>
        <w:rPr>
          <w:rFonts w:hint="eastAsia" w:ascii="宋体" w:hAnsi="宋体" w:eastAsia="宋体" w:cs="宋体"/>
          <w:color w:val="000000"/>
          <w:sz w:val="24"/>
          <w:szCs w:val="32"/>
        </w:rPr>
        <w:tab/>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p>
    <w:p>
      <w:pPr>
        <w:rPr>
          <w:rFonts w:hint="eastAsia" w:ascii="宋体" w:hAnsi="宋体" w:eastAsia="宋体" w:cs="宋体"/>
          <w:color w:val="000000"/>
          <w:sz w:val="24"/>
          <w:szCs w:val="32"/>
        </w:rPr>
      </w:pPr>
      <w:r>
        <w:rPr>
          <w:rFonts w:hint="eastAsia" w:ascii="宋体" w:hAnsi="宋体" w:eastAsia="宋体" w:cs="宋体"/>
          <w:color w:val="000000"/>
          <w:sz w:val="24"/>
          <w:szCs w:val="32"/>
        </w:rPr>
        <w:br w:type="page"/>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color w:val="000000"/>
          <w:sz w:val="44"/>
          <w:szCs w:val="44"/>
        </w:rPr>
      </w:pPr>
      <w:r>
        <w:rPr>
          <w:rFonts w:hint="eastAsia" w:ascii="宋体" w:hAnsi="宋体" w:eastAsia="宋体" w:cs="宋体"/>
          <w:color w:val="000000"/>
          <w:sz w:val="44"/>
          <w:szCs w:val="44"/>
        </w:rPr>
        <w:t>第一章</w:t>
      </w:r>
      <w:r>
        <w:rPr>
          <w:rFonts w:hint="eastAsia" w:ascii="宋体" w:hAnsi="宋体" w:eastAsia="宋体" w:cs="宋体"/>
          <w:color w:val="000000"/>
          <w:sz w:val="44"/>
          <w:szCs w:val="44"/>
          <w:lang w:val="en-US" w:eastAsia="zh-CN"/>
        </w:rPr>
        <w:t xml:space="preserve">  </w:t>
      </w:r>
      <w:r>
        <w:rPr>
          <w:rFonts w:hint="eastAsia" w:ascii="宋体" w:hAnsi="宋体" w:eastAsia="宋体" w:cs="宋体"/>
          <w:color w:val="000000"/>
          <w:sz w:val="44"/>
          <w:szCs w:val="44"/>
        </w:rPr>
        <w:t>发展基础</w:t>
      </w:r>
    </w:p>
    <w:p>
      <w:pPr>
        <w:keepNext w:val="0"/>
        <w:keepLines w:val="0"/>
        <w:pageBreakBefore w:val="0"/>
        <w:widowControl w:val="0"/>
        <w:kinsoku/>
        <w:wordWrap/>
        <w:overflowPunct/>
        <w:topLinePunct w:val="0"/>
        <w:autoSpaceDE/>
        <w:autoSpaceDN/>
        <w:bidi w:val="0"/>
        <w:adjustRightInd/>
        <w:snapToGrid/>
        <w:spacing w:before="157" w:beforeLines="50" w:after="157" w:afterLines="50" w:line="520" w:lineRule="exact"/>
        <w:ind w:left="0" w:leftChars="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第一节 社会经济现状</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海丰县地处广东省东南部，隶属汕尾市，东接陆丰市，西接惠东县，南与汕尾城区接壤，东北与陆河县相接，紧邻粤港澳大湾区，是深圳都市圈通往粤东的必经之地。海丰县与珠江三角洲、香港、澳门相邻，西距广州290公里、距深圳197公里，东距汕头180公里，水路至香港81海里，海陆交通方便，是粤东城市群进入珠三角的桥头堡，居粤东地区陆上交通要津。2020年，汕尾市委全会聚焦“一盘棋”推进县域高质量发展，确立了海丰依托毗邻深汕特别合作区的区位优势，发挥融入大湾区“桥头堡”和对接先行示范区“主阵地”作用的发展总目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sz w:val="24"/>
          <w:szCs w:val="32"/>
        </w:rPr>
      </w:pPr>
      <w:r>
        <w:rPr>
          <w:rFonts w:hint="eastAsia" w:ascii="宋体" w:hAnsi="宋体" w:eastAsia="宋体" w:cs="宋体"/>
        </w:rPr>
        <w:drawing>
          <wp:inline distT="0" distB="0" distL="0" distR="0">
            <wp:extent cx="5400040" cy="3137535"/>
            <wp:effectExtent l="0" t="0" r="1016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7"/>
                    <a:stretch>
                      <a:fillRect/>
                    </a:stretch>
                  </pic:blipFill>
                  <pic:spPr>
                    <a:xfrm>
                      <a:off x="0" y="0"/>
                      <a:ext cx="5400040" cy="3137535"/>
                    </a:xfrm>
                    <a:prstGeom prst="rect">
                      <a:avLst/>
                    </a:prstGeom>
                  </pic:spPr>
                </pic:pic>
              </a:graphicData>
            </a:graphic>
          </wp:inline>
        </w:drawing>
      </w:r>
    </w:p>
    <w:p>
      <w:pPr>
        <w:pageBreakBefore w:val="0"/>
        <w:widowControl w:val="0"/>
        <w:kinsoku/>
        <w:wordWrap/>
        <w:overflowPunct/>
        <w:topLinePunct w:val="0"/>
        <w:autoSpaceDE/>
        <w:autoSpaceDN/>
        <w:bidi w:val="0"/>
        <w:snapToGrid/>
        <w:spacing w:line="54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图1</w:t>
      </w:r>
      <w:r>
        <w:rPr>
          <w:rFonts w:hint="eastAsia" w:ascii="宋体" w:hAnsi="宋体" w:eastAsia="宋体" w:cs="宋体"/>
          <w:b/>
          <w:bCs/>
          <w:color w:val="000000"/>
          <w:sz w:val="21"/>
          <w:szCs w:val="21"/>
          <w:lang w:val="en-US" w:eastAsia="zh-CN"/>
        </w:rPr>
        <w:t xml:space="preserve">  </w:t>
      </w:r>
      <w:r>
        <w:rPr>
          <w:rFonts w:hint="eastAsia" w:ascii="宋体" w:hAnsi="宋体" w:eastAsia="宋体" w:cs="宋体"/>
          <w:b/>
          <w:bCs/>
          <w:color w:val="000000"/>
          <w:sz w:val="21"/>
          <w:szCs w:val="21"/>
        </w:rPr>
        <w:t>海丰县区位示意图</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十三五”期间，海丰县坚持以习近平新时代中国特色社会主义思想为指导，深入贯彻习近平总书记对广东重要讲话和重要指示精神，认真落实市委、市政府和县委、县政府的工作部署，只争朝夕，奋勇前进，坚持“创新、协调、绿色、开放、共享”新发展理念，坚持稳中求进工作总基调，坚定践行新发展理念，全力推动高质量发展，全县经济发展取得新成效，社会事业稳步推进，城乡面貌焕然一新，人民生活显著改善，为全面建成小康社会奠定了坚实的基础。</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十三五”以来，海丰县经济运行总体平稳，多项经济指标总量和增幅居全市前列。2020年，全县实现地区生产总值349.8亿元，比上年增长5.1%，“十三五”期间年均增长7.2%。全年累计完成农林牧渔业总产值66.1亿元，比上年增长5.2%。全部工业增加值133.8亿元，比上年增长3.5%；规模以上工业增加值59.2亿元，增长4.3%。其中，第一产业增加值38.6亿元，增长4.2%，对GDP增长的贡献率为8.4%；第二产业增加值157.2亿元，增长5.5%，对GDP增长的贡献率为51.0%；第三产业增加值154亿元，增长4.8%，对GDP增长的贡献率为40.6%。三次产业结构从“十三五”初期的12.1：</w:t>
      </w:r>
      <w:r>
        <w:rPr>
          <w:rFonts w:hint="eastAsia" w:ascii="宋体" w:hAnsi="宋体" w:eastAsia="宋体" w:cs="宋体"/>
          <w:color w:val="000000"/>
          <w:sz w:val="24"/>
          <w:szCs w:val="32"/>
        </w:rPr>
        <w:tab/>
      </w:r>
      <w:r>
        <w:rPr>
          <w:rFonts w:hint="eastAsia" w:ascii="宋体" w:hAnsi="宋体" w:eastAsia="宋体" w:cs="宋体"/>
          <w:color w:val="000000"/>
          <w:sz w:val="24"/>
          <w:szCs w:val="32"/>
        </w:rPr>
        <w:t>47.6：40.3调整为11.0：45.0：44.0。</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2020年年末全县户籍人口77.9万人。全年全社会固定资产投资比上年增长15.0%。全年地方一般预算收入10.6亿元，其中，税收收入7.5亿元；财政一般预算支出60.9亿元。全年社会商品零售总额144亿元。全年全县居民人均可支配收入28506元，按居住地分，城镇居民人均可支配收入33807元，增长8.0%；农村居民人均可支配收入19258元，增长10.3%。</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表1 “十三五”期间海丰县主要社会经济发展指标一览表</w:t>
      </w:r>
    </w:p>
    <w:tbl>
      <w:tblPr>
        <w:tblStyle w:val="5"/>
        <w:tblW w:w="850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570"/>
        <w:gridCol w:w="1570"/>
        <w:gridCol w:w="1570"/>
        <w:gridCol w:w="1570"/>
        <w:gridCol w:w="157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blHeader/>
          <w:jc w:val="center"/>
        </w:trPr>
        <w:tc>
          <w:tcPr>
            <w:tcW w:w="383"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年份</w:t>
            </w:r>
          </w:p>
        </w:tc>
        <w:tc>
          <w:tcPr>
            <w:tcW w:w="923"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地区生产总值（亿元）</w:t>
            </w:r>
          </w:p>
        </w:tc>
        <w:tc>
          <w:tcPr>
            <w:tcW w:w="923"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人均地区生产总值（元）</w:t>
            </w:r>
          </w:p>
        </w:tc>
        <w:tc>
          <w:tcPr>
            <w:tcW w:w="923"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常住人口</w:t>
            </w:r>
          </w:p>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（万人）</w:t>
            </w:r>
          </w:p>
        </w:tc>
        <w:tc>
          <w:tcPr>
            <w:tcW w:w="923"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农林牧渔业总产值（亿元）</w:t>
            </w:r>
          </w:p>
        </w:tc>
        <w:tc>
          <w:tcPr>
            <w:tcW w:w="924"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人均可支配收入（元）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2015</w:t>
            </w:r>
          </w:p>
        </w:tc>
        <w:tc>
          <w:tcPr>
            <w:tcW w:w="92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270.5</w:t>
            </w:r>
          </w:p>
        </w:tc>
        <w:tc>
          <w:tcPr>
            <w:tcW w:w="92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33943</w:t>
            </w:r>
          </w:p>
        </w:tc>
        <w:tc>
          <w:tcPr>
            <w:tcW w:w="92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73.50</w:t>
            </w:r>
          </w:p>
        </w:tc>
        <w:tc>
          <w:tcPr>
            <w:tcW w:w="92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56.26</w:t>
            </w:r>
          </w:p>
        </w:tc>
        <w:tc>
          <w:tcPr>
            <w:tcW w:w="924"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19086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2016</w:t>
            </w:r>
          </w:p>
        </w:tc>
        <w:tc>
          <w:tcPr>
            <w:tcW w:w="92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295.1</w:t>
            </w:r>
          </w:p>
        </w:tc>
        <w:tc>
          <w:tcPr>
            <w:tcW w:w="92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37035</w:t>
            </w:r>
          </w:p>
        </w:tc>
        <w:tc>
          <w:tcPr>
            <w:tcW w:w="92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73.52</w:t>
            </w:r>
          </w:p>
        </w:tc>
        <w:tc>
          <w:tcPr>
            <w:tcW w:w="92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60.72</w:t>
            </w:r>
          </w:p>
        </w:tc>
        <w:tc>
          <w:tcPr>
            <w:tcW w:w="924"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20428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2017</w:t>
            </w:r>
          </w:p>
        </w:tc>
        <w:tc>
          <w:tcPr>
            <w:tcW w:w="92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292.3</w:t>
            </w:r>
          </w:p>
        </w:tc>
        <w:tc>
          <w:tcPr>
            <w:tcW w:w="92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39752</w:t>
            </w:r>
          </w:p>
        </w:tc>
        <w:tc>
          <w:tcPr>
            <w:tcW w:w="92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73.55</w:t>
            </w:r>
          </w:p>
        </w:tc>
        <w:tc>
          <w:tcPr>
            <w:tcW w:w="92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51.82</w:t>
            </w:r>
          </w:p>
        </w:tc>
        <w:tc>
          <w:tcPr>
            <w:tcW w:w="924"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22029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2018</w:t>
            </w:r>
          </w:p>
        </w:tc>
        <w:tc>
          <w:tcPr>
            <w:tcW w:w="92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313.8</w:t>
            </w:r>
          </w:p>
        </w:tc>
        <w:tc>
          <w:tcPr>
            <w:tcW w:w="92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42662</w:t>
            </w:r>
          </w:p>
        </w:tc>
        <w:tc>
          <w:tcPr>
            <w:tcW w:w="92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73.57</w:t>
            </w:r>
          </w:p>
        </w:tc>
        <w:tc>
          <w:tcPr>
            <w:tcW w:w="92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55.43</w:t>
            </w:r>
          </w:p>
        </w:tc>
        <w:tc>
          <w:tcPr>
            <w:tcW w:w="924"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23870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2019</w:t>
            </w:r>
          </w:p>
        </w:tc>
        <w:tc>
          <w:tcPr>
            <w:tcW w:w="92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336.8</w:t>
            </w:r>
          </w:p>
        </w:tc>
        <w:tc>
          <w:tcPr>
            <w:tcW w:w="92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45749</w:t>
            </w:r>
          </w:p>
        </w:tc>
        <w:tc>
          <w:tcPr>
            <w:tcW w:w="92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73.65</w:t>
            </w:r>
          </w:p>
        </w:tc>
        <w:tc>
          <w:tcPr>
            <w:tcW w:w="92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61.83</w:t>
            </w:r>
          </w:p>
        </w:tc>
        <w:tc>
          <w:tcPr>
            <w:tcW w:w="924"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26247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2020</w:t>
            </w:r>
          </w:p>
        </w:tc>
        <w:tc>
          <w:tcPr>
            <w:tcW w:w="92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349.8</w:t>
            </w:r>
          </w:p>
        </w:tc>
        <w:tc>
          <w:tcPr>
            <w:tcW w:w="92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47477</w:t>
            </w:r>
          </w:p>
        </w:tc>
        <w:tc>
          <w:tcPr>
            <w:tcW w:w="92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73.69</w:t>
            </w:r>
          </w:p>
        </w:tc>
        <w:tc>
          <w:tcPr>
            <w:tcW w:w="923"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66.10</w:t>
            </w:r>
          </w:p>
        </w:tc>
        <w:tc>
          <w:tcPr>
            <w:tcW w:w="924" w:type="pct"/>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28506</w:t>
            </w:r>
          </w:p>
        </w:tc>
      </w:tr>
    </w:tbl>
    <w:p>
      <w:pPr>
        <w:pStyle w:val="10"/>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sz w:val="21"/>
          <w:szCs w:val="21"/>
        </w:rPr>
      </w:pPr>
      <w:r>
        <w:rPr>
          <w:rFonts w:hint="eastAsia" w:ascii="宋体" w:hAnsi="宋体" w:eastAsia="宋体" w:cs="宋体"/>
          <w:sz w:val="21"/>
          <w:szCs w:val="21"/>
        </w:rPr>
        <w:t>注：资料来源于《汕尾统计年鉴（2021年）》，2020年海丰国民经济和社会发展统计公报。</w:t>
      </w:r>
    </w:p>
    <w:p>
      <w:pPr>
        <w:pStyle w:val="2"/>
        <w:keepNext/>
        <w:keepLines/>
        <w:pageBreakBefore w:val="0"/>
        <w:widowControl w:val="0"/>
        <w:kinsoku/>
        <w:wordWrap/>
        <w:overflowPunct/>
        <w:topLinePunct w:val="0"/>
        <w:autoSpaceDE/>
        <w:autoSpaceDN/>
        <w:bidi w:val="0"/>
        <w:adjustRightInd w:val="0"/>
        <w:snapToGrid/>
        <w:spacing w:before="0" w:beforeAutospacing="0" w:after="0" w:afterAutospacing="0" w:line="240" w:lineRule="auto"/>
        <w:jc w:val="center"/>
        <w:textAlignment w:val="auto"/>
        <w:rPr>
          <w:rFonts w:hint="eastAsia" w:ascii="宋体" w:hAnsi="宋体" w:eastAsia="宋体" w:cs="宋体"/>
        </w:rPr>
      </w:pPr>
      <w:r>
        <w:rPr>
          <w:rFonts w:hint="eastAsia" w:ascii="宋体" w:hAnsi="宋体" w:eastAsia="宋体" w:cs="宋体"/>
        </w:rPr>
        <w:drawing>
          <wp:inline distT="0" distB="0" distL="0" distR="0">
            <wp:extent cx="5400040" cy="3434715"/>
            <wp:effectExtent l="4445" t="4445" r="5715" b="889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图2 “十三五”期间海丰县地区生产总值及增长速度示意图</w:t>
      </w:r>
    </w:p>
    <w:p>
      <w:pPr>
        <w:jc w:val="center"/>
        <w:rPr>
          <w:rFonts w:hint="eastAsia" w:ascii="宋体" w:hAnsi="宋体" w:eastAsia="宋体" w:cs="宋体"/>
        </w:rPr>
      </w:pPr>
      <w:r>
        <w:rPr>
          <w:rFonts w:hint="eastAsia" w:ascii="宋体" w:hAnsi="宋体" w:eastAsia="宋体" w:cs="宋体"/>
        </w:rPr>
        <w:drawing>
          <wp:inline distT="0" distB="0" distL="0" distR="0">
            <wp:extent cx="5400040" cy="3328035"/>
            <wp:effectExtent l="4445" t="4445" r="5715" b="2032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图3 “十三五”期间海丰县地区三次产业结构图</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2020年在汕尾市所辖的1区2县1市中，海丰县经济发展保持良好态势，各项基础数据处于中上水平，其中，全年地区生产总值为349.77亿元，排名第三；人均地区生产总值为47477元，排名第二，仅次于汕尾市城区；常住人口73.69万人，排名第二；农林牧渔业总产值65.01亿元，排名第二；工业总产值319.01亿元，排名第三。</w:t>
      </w:r>
    </w:p>
    <w:p>
      <w:pPr>
        <w:pageBreakBefore w:val="0"/>
        <w:widowControl w:val="0"/>
        <w:kinsoku/>
        <w:wordWrap/>
        <w:overflowPunct/>
        <w:topLinePunct w:val="0"/>
        <w:autoSpaceDE/>
        <w:autoSpaceDN/>
        <w:bidi w:val="0"/>
        <w:snapToGrid/>
        <w:spacing w:line="54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表2 2020年海丰县及周边县（市、区）主要社会经济发展指标一览表</w:t>
      </w:r>
    </w:p>
    <w:tbl>
      <w:tblPr>
        <w:tblStyle w:val="5"/>
        <w:tblW w:w="850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3"/>
        <w:gridCol w:w="1412"/>
        <w:gridCol w:w="1655"/>
        <w:gridCol w:w="1165"/>
        <w:gridCol w:w="1504"/>
        <w:gridCol w:w="131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55"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县（市、区）</w:t>
            </w:r>
          </w:p>
        </w:tc>
        <w:tc>
          <w:tcPr>
            <w:tcW w:w="830"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地区生产总值（亿元）</w:t>
            </w:r>
          </w:p>
        </w:tc>
        <w:tc>
          <w:tcPr>
            <w:tcW w:w="973"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人均地区生产总值（元）</w:t>
            </w:r>
          </w:p>
        </w:tc>
        <w:tc>
          <w:tcPr>
            <w:tcW w:w="685"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常住人口</w:t>
            </w:r>
          </w:p>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（万人）</w:t>
            </w:r>
          </w:p>
        </w:tc>
        <w:tc>
          <w:tcPr>
            <w:tcW w:w="884"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农林牧渔业总产值（亿元）</w:t>
            </w:r>
          </w:p>
        </w:tc>
        <w:tc>
          <w:tcPr>
            <w:tcW w:w="773"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工业总产值（亿元）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城区</w:t>
            </w:r>
          </w:p>
        </w:tc>
        <w:tc>
          <w:tcPr>
            <w:tcW w:w="830"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320.25</w:t>
            </w:r>
          </w:p>
        </w:tc>
        <w:tc>
          <w:tcPr>
            <w:tcW w:w="973"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70843</w:t>
            </w:r>
          </w:p>
        </w:tc>
        <w:tc>
          <w:tcPr>
            <w:tcW w:w="6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39.44</w:t>
            </w:r>
          </w:p>
        </w:tc>
        <w:tc>
          <w:tcPr>
            <w:tcW w:w="884"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51.05 </w:t>
            </w:r>
          </w:p>
        </w:tc>
        <w:tc>
          <w:tcPr>
            <w:tcW w:w="773"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420.66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陆丰市</w:t>
            </w:r>
          </w:p>
        </w:tc>
        <w:tc>
          <w:tcPr>
            <w:tcW w:w="830"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364.71</w:t>
            </w:r>
          </w:p>
        </w:tc>
        <w:tc>
          <w:tcPr>
            <w:tcW w:w="973"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29383</w:t>
            </w:r>
          </w:p>
        </w:tc>
        <w:tc>
          <w:tcPr>
            <w:tcW w:w="6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121.96</w:t>
            </w:r>
          </w:p>
        </w:tc>
        <w:tc>
          <w:tcPr>
            <w:tcW w:w="884"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119.93 </w:t>
            </w:r>
          </w:p>
        </w:tc>
        <w:tc>
          <w:tcPr>
            <w:tcW w:w="773"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360.83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5" w:type="pct"/>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海丰县</w:t>
            </w:r>
          </w:p>
        </w:tc>
        <w:tc>
          <w:tcPr>
            <w:tcW w:w="830" w:type="pct"/>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349.77</w:t>
            </w:r>
          </w:p>
        </w:tc>
        <w:tc>
          <w:tcPr>
            <w:tcW w:w="973" w:type="pct"/>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47477</w:t>
            </w:r>
          </w:p>
        </w:tc>
        <w:tc>
          <w:tcPr>
            <w:tcW w:w="685" w:type="pct"/>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73.69</w:t>
            </w:r>
          </w:p>
        </w:tc>
        <w:tc>
          <w:tcPr>
            <w:tcW w:w="884" w:type="pct"/>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 xml:space="preserve">65.01 </w:t>
            </w:r>
          </w:p>
        </w:tc>
        <w:tc>
          <w:tcPr>
            <w:tcW w:w="773" w:type="pct"/>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 xml:space="preserve">319.01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陆河县</w:t>
            </w:r>
          </w:p>
        </w:tc>
        <w:tc>
          <w:tcPr>
            <w:tcW w:w="830"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89.09</w:t>
            </w:r>
          </w:p>
        </w:tc>
        <w:tc>
          <w:tcPr>
            <w:tcW w:w="973"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35785</w:t>
            </w:r>
          </w:p>
        </w:tc>
        <w:tc>
          <w:tcPr>
            <w:tcW w:w="6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24.85</w:t>
            </w:r>
          </w:p>
        </w:tc>
        <w:tc>
          <w:tcPr>
            <w:tcW w:w="884"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25.47 </w:t>
            </w:r>
          </w:p>
        </w:tc>
        <w:tc>
          <w:tcPr>
            <w:tcW w:w="773"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79.54 </w:t>
            </w:r>
          </w:p>
        </w:tc>
      </w:tr>
    </w:tbl>
    <w:p>
      <w:pPr>
        <w:pStyle w:val="10"/>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sz w:val="21"/>
          <w:szCs w:val="21"/>
        </w:rPr>
      </w:pPr>
      <w:r>
        <w:rPr>
          <w:rFonts w:hint="eastAsia" w:ascii="宋体" w:hAnsi="宋体" w:eastAsia="宋体" w:cs="宋体"/>
          <w:sz w:val="21"/>
          <w:szCs w:val="21"/>
        </w:rPr>
        <w:t>注：资料来源于《汕尾统计年鉴（2021年）》。</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rPr>
      </w:pPr>
      <w:r>
        <w:rPr>
          <w:rFonts w:hint="eastAsia" w:ascii="宋体" w:hAnsi="宋体" w:eastAsia="宋体" w:cs="宋体"/>
        </w:rPr>
        <w:drawing>
          <wp:inline distT="0" distB="0" distL="0" distR="0">
            <wp:extent cx="5400040" cy="3336290"/>
            <wp:effectExtent l="4445" t="4445" r="5715" b="12065"/>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ageBreakBefore w:val="0"/>
        <w:widowControl w:val="0"/>
        <w:kinsoku/>
        <w:wordWrap/>
        <w:overflowPunct/>
        <w:topLinePunct w:val="0"/>
        <w:autoSpaceDE/>
        <w:autoSpaceDN/>
        <w:bidi w:val="0"/>
        <w:snapToGrid/>
        <w:spacing w:line="54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图4 2020年海丰县及周边县（市、区）地区生产总值示意图</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十三五”以来，海丰县经济运行总体平稳，地区生产总值以及人均生产总值在汕尾各县（市、区）中排名前列，在广东省122个县（市、区）中位列第63，处于中游水平。但“十三五”期间生产总值增速逐年放缓，产业结构有待进一步优化，未来区域经济增长仍有较大提升空间。“十四五”期间需要紧紧抓住粤港澳大湾区建设重大机遇，积极发挥海丰县在“东承西接”中的区位优势，全力推动重大项目建设，向西全面接轨深圳，切实承接好大湾区、先行区辐射效应，实现海丰与“双区”协同一体发展；向东全面对接汕头、携手汕潮揭，不断增创发展新优势、拓展发展新空间，努力建成全市“东承西接”先行县，奋力实现高质量发展。</w:t>
      </w:r>
    </w:p>
    <w:p>
      <w:pPr>
        <w:keepNext w:val="0"/>
        <w:keepLines w:val="0"/>
        <w:pageBreakBefore w:val="0"/>
        <w:widowControl w:val="0"/>
        <w:kinsoku/>
        <w:wordWrap/>
        <w:overflowPunct/>
        <w:topLinePunct w:val="0"/>
        <w:autoSpaceDE/>
        <w:autoSpaceDN/>
        <w:bidi w:val="0"/>
        <w:adjustRightInd/>
        <w:snapToGrid/>
        <w:spacing w:before="157" w:beforeLines="50" w:after="157" w:afterLines="50" w:line="540" w:lineRule="exact"/>
        <w:ind w:left="0" w:leftChars="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第二节 交通发展成就</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十三五”期间，海丰县交通发展紧紧围绕“立足当前、着眼长远，深化改革、创新驱动，统筹兼顾、协调融合，问题导向、项目支撑，远近结合、合理引导”的总体要求，坚持“规划引领，适度超前，重点突出，统筹建设”的基本原则，全力推进综合交通基础设施建设，不断增强运输保障能力，切实加强交通行业治理，初步形成了以铁路、高速公路为主骨架，普通国省干线为重要支撑，农村公路为脉络的综合交通运输体系，为加快海丰县高质量发展提供了有力支撑。</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1.交通基础设施建设全面推进</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（1）公路网广度与深度持续提升</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十三五”期间，海丰县全力加强公路建设，基本形成了以沈海高速、潮惠高速、兴汕高速为主骨架，以国道G235、G236、G324及省道S240、S241、S510等普通国省干线为重要支撑，以农村公路为脉络的层次分明、布局合理、衔接顺畅的公路网络体系。</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截至2020年，海丰县全县公路总里程达到1585.87公里（不含深汕合作区），公里网密度为120.50公里/百平方公里。按技术等级划分，高速公路里程达到81.67公里，占比5.15%；二级及以上公路达到291.45公里，占比18.37%。全县基本消除等外公路，且高等级公路占比显著提升。按行政等级划分，全县干线公路（国省道）里程达到266.47公里，占比16.80%；农村公路（县乡村道）总里程1319.40公里，占比83.20%。县公路网的广度和深度较“十三五”初期得到了较大提升。</w:t>
      </w:r>
    </w:p>
    <w:p>
      <w:pPr>
        <w:pageBreakBefore w:val="0"/>
        <w:widowControl w:val="0"/>
        <w:kinsoku/>
        <w:wordWrap/>
        <w:overflowPunct/>
        <w:topLinePunct w:val="0"/>
        <w:autoSpaceDE/>
        <w:autoSpaceDN/>
        <w:bidi w:val="0"/>
        <w:snapToGrid/>
        <w:spacing w:line="54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表3 2020年海丰县公路里程一览表（单位：公里）</w:t>
      </w:r>
    </w:p>
    <w:tbl>
      <w:tblPr>
        <w:tblStyle w:val="5"/>
        <w:tblW w:w="850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909"/>
        <w:gridCol w:w="996"/>
        <w:gridCol w:w="996"/>
        <w:gridCol w:w="996"/>
        <w:gridCol w:w="996"/>
        <w:gridCol w:w="996"/>
        <w:gridCol w:w="998"/>
        <w:gridCol w:w="97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12" w:type="pct"/>
            <w:gridSpan w:val="2"/>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公路等级</w:t>
            </w:r>
          </w:p>
        </w:tc>
        <w:tc>
          <w:tcPr>
            <w:tcW w:w="585"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高速</w:t>
            </w:r>
          </w:p>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公路</w:t>
            </w:r>
          </w:p>
        </w:tc>
        <w:tc>
          <w:tcPr>
            <w:tcW w:w="585"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一级</w:t>
            </w:r>
          </w:p>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公路</w:t>
            </w:r>
          </w:p>
        </w:tc>
        <w:tc>
          <w:tcPr>
            <w:tcW w:w="585"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二级</w:t>
            </w:r>
          </w:p>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公路</w:t>
            </w:r>
          </w:p>
        </w:tc>
        <w:tc>
          <w:tcPr>
            <w:tcW w:w="585"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三级</w:t>
            </w:r>
          </w:p>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公路</w:t>
            </w:r>
          </w:p>
        </w:tc>
        <w:tc>
          <w:tcPr>
            <w:tcW w:w="585"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四级</w:t>
            </w:r>
          </w:p>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公路</w:t>
            </w:r>
          </w:p>
        </w:tc>
        <w:tc>
          <w:tcPr>
            <w:tcW w:w="586"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合计</w:t>
            </w:r>
          </w:p>
        </w:tc>
        <w:tc>
          <w:tcPr>
            <w:tcW w:w="572"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占总里程比例</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Merge w:val="restar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干线公路</w:t>
            </w:r>
          </w:p>
        </w:tc>
        <w:tc>
          <w:tcPr>
            <w:tcW w:w="534"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国道</w:t>
            </w:r>
          </w:p>
        </w:tc>
        <w:tc>
          <w:tcPr>
            <w:tcW w:w="5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67.33</w:t>
            </w:r>
          </w:p>
        </w:tc>
        <w:tc>
          <w:tcPr>
            <w:tcW w:w="5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25.27</w:t>
            </w:r>
          </w:p>
        </w:tc>
        <w:tc>
          <w:tcPr>
            <w:tcW w:w="5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55.03</w:t>
            </w:r>
          </w:p>
        </w:tc>
        <w:tc>
          <w:tcPr>
            <w:tcW w:w="5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14.92</w:t>
            </w:r>
          </w:p>
        </w:tc>
        <w:tc>
          <w:tcPr>
            <w:tcW w:w="5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1.69</w:t>
            </w:r>
          </w:p>
        </w:tc>
        <w:tc>
          <w:tcPr>
            <w:tcW w:w="586"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164.25</w:t>
            </w:r>
          </w:p>
        </w:tc>
        <w:tc>
          <w:tcPr>
            <w:tcW w:w="572" w:type="pct"/>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10.35%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Merge w:val="continue"/>
            <w:vAlign w:val="center"/>
          </w:tcPr>
          <w:p>
            <w:pPr>
              <w:pStyle w:val="9"/>
              <w:spacing w:line="240" w:lineRule="auto"/>
              <w:ind w:firstLine="0" w:firstLineChars="0"/>
              <w:jc w:val="center"/>
              <w:rPr>
                <w:rFonts w:hint="eastAsia" w:ascii="宋体" w:hAnsi="宋体" w:eastAsia="宋体" w:cs="宋体"/>
                <w:color w:val="auto"/>
                <w:sz w:val="21"/>
                <w:szCs w:val="21"/>
              </w:rPr>
            </w:pPr>
          </w:p>
        </w:tc>
        <w:tc>
          <w:tcPr>
            <w:tcW w:w="534"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省道</w:t>
            </w:r>
          </w:p>
        </w:tc>
        <w:tc>
          <w:tcPr>
            <w:tcW w:w="5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14.34</w:t>
            </w:r>
          </w:p>
        </w:tc>
        <w:tc>
          <w:tcPr>
            <w:tcW w:w="5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0.000</w:t>
            </w:r>
          </w:p>
        </w:tc>
        <w:tc>
          <w:tcPr>
            <w:tcW w:w="5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27.21</w:t>
            </w:r>
          </w:p>
        </w:tc>
        <w:tc>
          <w:tcPr>
            <w:tcW w:w="5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36.87</w:t>
            </w:r>
          </w:p>
        </w:tc>
        <w:tc>
          <w:tcPr>
            <w:tcW w:w="5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23.80</w:t>
            </w:r>
          </w:p>
        </w:tc>
        <w:tc>
          <w:tcPr>
            <w:tcW w:w="586"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102.22</w:t>
            </w:r>
          </w:p>
        </w:tc>
        <w:tc>
          <w:tcPr>
            <w:tcW w:w="572" w:type="pct"/>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6.45%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Merge w:val="restar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农村公路</w:t>
            </w:r>
          </w:p>
        </w:tc>
        <w:tc>
          <w:tcPr>
            <w:tcW w:w="534"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县道</w:t>
            </w:r>
          </w:p>
        </w:tc>
        <w:tc>
          <w:tcPr>
            <w:tcW w:w="5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w:t>
            </w:r>
          </w:p>
        </w:tc>
        <w:tc>
          <w:tcPr>
            <w:tcW w:w="5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9.91</w:t>
            </w:r>
          </w:p>
        </w:tc>
        <w:tc>
          <w:tcPr>
            <w:tcW w:w="5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30.32</w:t>
            </w:r>
          </w:p>
        </w:tc>
        <w:tc>
          <w:tcPr>
            <w:tcW w:w="5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46.49</w:t>
            </w:r>
          </w:p>
        </w:tc>
        <w:tc>
          <w:tcPr>
            <w:tcW w:w="5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5.59</w:t>
            </w:r>
          </w:p>
        </w:tc>
        <w:tc>
          <w:tcPr>
            <w:tcW w:w="586"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92.32</w:t>
            </w:r>
          </w:p>
        </w:tc>
        <w:tc>
          <w:tcPr>
            <w:tcW w:w="572" w:type="pct"/>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5.82%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Merge w:val="continue"/>
            <w:vAlign w:val="center"/>
          </w:tcPr>
          <w:p>
            <w:pPr>
              <w:pStyle w:val="9"/>
              <w:spacing w:line="240" w:lineRule="auto"/>
              <w:ind w:firstLine="0" w:firstLineChars="0"/>
              <w:jc w:val="center"/>
              <w:rPr>
                <w:rFonts w:hint="eastAsia" w:ascii="宋体" w:hAnsi="宋体" w:eastAsia="宋体" w:cs="宋体"/>
                <w:color w:val="auto"/>
                <w:sz w:val="21"/>
                <w:szCs w:val="21"/>
              </w:rPr>
            </w:pPr>
          </w:p>
        </w:tc>
        <w:tc>
          <w:tcPr>
            <w:tcW w:w="534"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乡道</w:t>
            </w:r>
          </w:p>
        </w:tc>
        <w:tc>
          <w:tcPr>
            <w:tcW w:w="5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w:t>
            </w:r>
          </w:p>
        </w:tc>
        <w:tc>
          <w:tcPr>
            <w:tcW w:w="5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5.19</w:t>
            </w:r>
          </w:p>
        </w:tc>
        <w:tc>
          <w:tcPr>
            <w:tcW w:w="5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48.56</w:t>
            </w:r>
          </w:p>
        </w:tc>
        <w:tc>
          <w:tcPr>
            <w:tcW w:w="5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119.99</w:t>
            </w:r>
          </w:p>
        </w:tc>
        <w:tc>
          <w:tcPr>
            <w:tcW w:w="5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456.33</w:t>
            </w:r>
          </w:p>
        </w:tc>
        <w:tc>
          <w:tcPr>
            <w:tcW w:w="586"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630.08</w:t>
            </w:r>
          </w:p>
        </w:tc>
        <w:tc>
          <w:tcPr>
            <w:tcW w:w="572" w:type="pct"/>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39.73%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Merge w:val="continue"/>
            <w:vAlign w:val="center"/>
          </w:tcPr>
          <w:p>
            <w:pPr>
              <w:pStyle w:val="9"/>
              <w:spacing w:line="240" w:lineRule="auto"/>
              <w:ind w:firstLine="0" w:firstLineChars="0"/>
              <w:jc w:val="center"/>
              <w:rPr>
                <w:rFonts w:hint="eastAsia" w:ascii="宋体" w:hAnsi="宋体" w:eastAsia="宋体" w:cs="宋体"/>
                <w:color w:val="auto"/>
                <w:sz w:val="21"/>
                <w:szCs w:val="21"/>
              </w:rPr>
            </w:pPr>
          </w:p>
        </w:tc>
        <w:tc>
          <w:tcPr>
            <w:tcW w:w="534"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村道</w:t>
            </w:r>
          </w:p>
        </w:tc>
        <w:tc>
          <w:tcPr>
            <w:tcW w:w="5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w:t>
            </w:r>
          </w:p>
        </w:tc>
        <w:tc>
          <w:tcPr>
            <w:tcW w:w="5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0.000</w:t>
            </w:r>
          </w:p>
        </w:tc>
        <w:tc>
          <w:tcPr>
            <w:tcW w:w="5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8.28</w:t>
            </w:r>
          </w:p>
        </w:tc>
        <w:tc>
          <w:tcPr>
            <w:tcW w:w="5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28.13</w:t>
            </w:r>
          </w:p>
        </w:tc>
        <w:tc>
          <w:tcPr>
            <w:tcW w:w="5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560.60</w:t>
            </w:r>
          </w:p>
        </w:tc>
        <w:tc>
          <w:tcPr>
            <w:tcW w:w="586"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597.01</w:t>
            </w:r>
          </w:p>
        </w:tc>
        <w:tc>
          <w:tcPr>
            <w:tcW w:w="572" w:type="pct"/>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37.65%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2" w:type="pct"/>
            <w:gridSpan w:val="2"/>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合计</w:t>
            </w:r>
          </w:p>
        </w:tc>
        <w:tc>
          <w:tcPr>
            <w:tcW w:w="585" w:type="pct"/>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81.67</w:t>
            </w:r>
          </w:p>
        </w:tc>
        <w:tc>
          <w:tcPr>
            <w:tcW w:w="585" w:type="pct"/>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40.36</w:t>
            </w:r>
          </w:p>
        </w:tc>
        <w:tc>
          <w:tcPr>
            <w:tcW w:w="585" w:type="pct"/>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169.42</w:t>
            </w:r>
          </w:p>
        </w:tc>
        <w:tc>
          <w:tcPr>
            <w:tcW w:w="585" w:type="pct"/>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246.40</w:t>
            </w:r>
          </w:p>
        </w:tc>
        <w:tc>
          <w:tcPr>
            <w:tcW w:w="585" w:type="pct"/>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1048.02</w:t>
            </w:r>
          </w:p>
        </w:tc>
        <w:tc>
          <w:tcPr>
            <w:tcW w:w="586" w:type="pct"/>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1585.87</w:t>
            </w:r>
          </w:p>
        </w:tc>
        <w:tc>
          <w:tcPr>
            <w:tcW w:w="572" w:type="pct"/>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100.00%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2" w:type="pct"/>
            <w:gridSpan w:val="2"/>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占总里程比例</w:t>
            </w:r>
          </w:p>
        </w:tc>
        <w:tc>
          <w:tcPr>
            <w:tcW w:w="585" w:type="pct"/>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5.15%</w:t>
            </w:r>
          </w:p>
        </w:tc>
        <w:tc>
          <w:tcPr>
            <w:tcW w:w="585" w:type="pct"/>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2.54%</w:t>
            </w:r>
          </w:p>
        </w:tc>
        <w:tc>
          <w:tcPr>
            <w:tcW w:w="585" w:type="pct"/>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10.68%</w:t>
            </w:r>
          </w:p>
        </w:tc>
        <w:tc>
          <w:tcPr>
            <w:tcW w:w="585" w:type="pct"/>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15.54%</w:t>
            </w:r>
          </w:p>
        </w:tc>
        <w:tc>
          <w:tcPr>
            <w:tcW w:w="585" w:type="pct"/>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66.08%</w:t>
            </w:r>
          </w:p>
        </w:tc>
        <w:tc>
          <w:tcPr>
            <w:tcW w:w="586" w:type="pct"/>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100.00%</w:t>
            </w:r>
          </w:p>
        </w:tc>
        <w:tc>
          <w:tcPr>
            <w:tcW w:w="572" w:type="pct"/>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w:t>
            </w:r>
          </w:p>
        </w:tc>
      </w:tr>
    </w:tbl>
    <w:p>
      <w:pPr>
        <w:pStyle w:val="10"/>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sz w:val="21"/>
          <w:szCs w:val="21"/>
        </w:rPr>
      </w:pPr>
      <w:r>
        <w:rPr>
          <w:rFonts w:hint="eastAsia" w:ascii="宋体" w:hAnsi="宋体" w:eastAsia="宋体" w:cs="宋体"/>
          <w:sz w:val="21"/>
          <w:szCs w:val="21"/>
        </w:rPr>
        <w:t>注：资料来源于海丰县交通运输局。</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4"/>
          <w:szCs w:val="32"/>
        </w:rPr>
      </w:pPr>
      <w:r>
        <w:rPr>
          <w:rFonts w:hint="eastAsia" w:ascii="宋体" w:hAnsi="宋体" w:eastAsia="宋体" w:cs="宋体"/>
        </w:rPr>
        <w:drawing>
          <wp:inline distT="0" distB="0" distL="0" distR="0">
            <wp:extent cx="5400040" cy="2505075"/>
            <wp:effectExtent l="4445" t="4445" r="5715" b="508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ageBreakBefore w:val="0"/>
        <w:widowControl w:val="0"/>
        <w:kinsoku/>
        <w:wordWrap/>
        <w:overflowPunct/>
        <w:topLinePunct w:val="0"/>
        <w:autoSpaceDE/>
        <w:autoSpaceDN/>
        <w:bidi w:val="0"/>
        <w:snapToGrid/>
        <w:spacing w:line="54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图5 2020年海丰县公路技术等级占比示意图</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4"/>
          <w:szCs w:val="32"/>
        </w:rPr>
      </w:pPr>
      <w:r>
        <w:rPr>
          <w:rFonts w:hint="eastAsia" w:ascii="宋体" w:hAnsi="宋体" w:eastAsia="宋体" w:cs="宋体"/>
        </w:rPr>
        <w:drawing>
          <wp:inline distT="0" distB="0" distL="0" distR="0">
            <wp:extent cx="5400040" cy="2021205"/>
            <wp:effectExtent l="4445" t="4445" r="5715" b="1270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图6 2020年海丰县公路行政等级占比示意图</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高速公路建设初具规模。</w:t>
      </w:r>
      <w:r>
        <w:rPr>
          <w:rFonts w:hint="eastAsia" w:ascii="宋体" w:hAnsi="宋体" w:eastAsia="宋体" w:cs="宋体"/>
          <w:color w:val="000000"/>
          <w:sz w:val="24"/>
          <w:szCs w:val="32"/>
        </w:rPr>
        <w:t>“十三五”期间，海丰县积极推进高速公路建设，潮惠高速、兴汕高速（一期）建成通车，有效加强了海丰与揭西、陆河等周边地市的快速联系，进一步完善了粤东地区的高速公路网络。河惠汕高速公路已完成前期规划工作，兴汕高速（二期）工程正在加快推进，目前已完成全面交地工作，项目建设各项工作进展顺利。</w:t>
      </w:r>
    </w:p>
    <w:tbl>
      <w:tblPr>
        <w:tblStyle w:val="6"/>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94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00"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4"/>
                <w:szCs w:val="21"/>
              </w:rPr>
              <w:t>专栏一：“十三五”时期高速公路重点建设项目</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00" w:type="pct"/>
          </w:tcPr>
          <w:p>
            <w:pPr>
              <w:pStyle w:val="9"/>
              <w:keepNext w:val="0"/>
              <w:keepLines w:val="0"/>
              <w:pageBreakBefore w:val="0"/>
              <w:widowControl w:val="0"/>
              <w:kinsoku/>
              <w:wordWrap/>
              <w:overflowPunct/>
              <w:topLinePunct w:val="0"/>
              <w:autoSpaceDE/>
              <w:autoSpaceDN/>
              <w:bidi w:val="0"/>
              <w:adjustRightInd/>
              <w:snapToGrid/>
              <w:spacing w:line="480" w:lineRule="exact"/>
              <w:ind w:firstLine="482"/>
              <w:textAlignment w:val="auto"/>
              <w:rPr>
                <w:rFonts w:hint="eastAsia" w:ascii="宋体" w:hAnsi="宋体" w:eastAsia="宋体" w:cs="宋体"/>
                <w:sz w:val="21"/>
                <w:szCs w:val="21"/>
              </w:rPr>
            </w:pPr>
            <w:r>
              <w:rPr>
                <w:rFonts w:hint="eastAsia" w:ascii="宋体" w:hAnsi="宋体" w:eastAsia="宋体" w:cs="宋体"/>
                <w:b/>
                <w:sz w:val="21"/>
                <w:szCs w:val="21"/>
              </w:rPr>
              <w:t>潮惠高速：</w:t>
            </w:r>
            <w:r>
              <w:rPr>
                <w:rFonts w:hint="eastAsia" w:ascii="宋体" w:hAnsi="宋体" w:eastAsia="宋体" w:cs="宋体"/>
                <w:sz w:val="21"/>
                <w:szCs w:val="21"/>
              </w:rPr>
              <w:t>潮惠高速公路是广东高速路网规划“四横”的重要组成部分，起于潮州市古巷镇，终于惠东大岭镇与惠莞高速公路惠州段相接，总长243.558公里。同步建设潮州连接线3.551公里、潮汕机场进场路连接线9.576公里。潮惠高速公路海丰段建设工程全长42公里，设计速度100公里/小时，采用双向六车道高速公路设计标准，途经平东、公平、海城3个镇，于2016年12月28日正式建成通车。</w:t>
            </w:r>
          </w:p>
          <w:p>
            <w:pPr>
              <w:pStyle w:val="9"/>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112895" cy="1755775"/>
                  <wp:effectExtent l="0" t="0" r="1905" b="158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3"/>
                          <a:stretch>
                            <a:fillRect/>
                          </a:stretch>
                        </pic:blipFill>
                        <pic:spPr>
                          <a:xfrm>
                            <a:off x="0" y="0"/>
                            <a:ext cx="4112895" cy="1755775"/>
                          </a:xfrm>
                          <a:prstGeom prst="rect">
                            <a:avLst/>
                          </a:prstGeom>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hint="eastAsia" w:ascii="宋体" w:hAnsi="宋体" w:eastAsia="宋体" w:cs="宋体"/>
                <w:sz w:val="21"/>
                <w:szCs w:val="21"/>
              </w:rPr>
            </w:pPr>
            <w:r>
              <w:rPr>
                <w:rFonts w:hint="eastAsia" w:ascii="宋体" w:hAnsi="宋体" w:eastAsia="宋体" w:cs="宋体"/>
                <w:sz w:val="21"/>
                <w:szCs w:val="21"/>
              </w:rPr>
              <w:t>该项目建成后，加强了海丰与周边县市的连通，提高了出行便捷度，为海丰构建现代化综合交通运输体系打下基础。同时，项目有利于海丰县融入深汕合作区、承接珠三角区域的产业转移，从而进一步带动区域社会经济发展。</w:t>
            </w:r>
          </w:p>
          <w:p>
            <w:pPr>
              <w:pStyle w:val="9"/>
              <w:keepNext w:val="0"/>
              <w:keepLines w:val="0"/>
              <w:pageBreakBefore w:val="0"/>
              <w:widowControl w:val="0"/>
              <w:kinsoku/>
              <w:wordWrap/>
              <w:overflowPunct/>
              <w:topLinePunct w:val="0"/>
              <w:autoSpaceDE/>
              <w:autoSpaceDN/>
              <w:bidi w:val="0"/>
              <w:adjustRightInd/>
              <w:snapToGrid/>
              <w:spacing w:line="520" w:lineRule="exact"/>
              <w:ind w:firstLine="482"/>
              <w:textAlignment w:val="auto"/>
              <w:rPr>
                <w:rFonts w:hint="eastAsia" w:ascii="宋体" w:hAnsi="宋体" w:eastAsia="宋体" w:cs="宋体"/>
                <w:sz w:val="21"/>
                <w:szCs w:val="21"/>
              </w:rPr>
            </w:pPr>
            <w:r>
              <w:rPr>
                <w:rFonts w:hint="eastAsia" w:ascii="宋体" w:hAnsi="宋体" w:eastAsia="宋体" w:cs="宋体"/>
                <w:b/>
                <w:sz w:val="21"/>
                <w:szCs w:val="21"/>
              </w:rPr>
              <w:t>兴汕高速（一期）：</w:t>
            </w:r>
            <w:r>
              <w:rPr>
                <w:rFonts w:hint="eastAsia" w:ascii="宋体" w:hAnsi="宋体" w:eastAsia="宋体" w:cs="宋体"/>
                <w:sz w:val="21"/>
                <w:szCs w:val="21"/>
              </w:rPr>
              <w:t>兴汕高速海丰至红海湾开发区段一期工程项目是广东省高速公路网规划（2020-2035年）“三纵”梅州平远至汕尾红海湾高速公路的重要组成部分，路线总体呈南北走向，起点位于汕尾市海丰县平东镇接甬莞高速公路（潮惠高速路段），经潭西镇连接沈海高速公路（深汕高速路段），终点位于海丰县赤坑镇。项目全长21.84公里，经过海丰县长度约14.9公里，设计时速100公里/小时，采用双向四车道高速公路设计标准，共设置互通立交4处、服务区1处。项目于2020年6月18日建成通车。</w:t>
            </w:r>
          </w:p>
          <w:p>
            <w:pPr>
              <w:pStyle w:val="9"/>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140200" cy="2335530"/>
                  <wp:effectExtent l="0" t="0" r="12700" b="7620"/>
                  <wp:docPr id="34" name="图片 34" descr="汕尾再添高速！兴汕高速西湖互通立交右幅贯通，预计2020通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汕尾再添高速！兴汕高速西湖互通立交右幅贯通，预计2020通车"/>
                          <pic:cNvPicPr>
                            <a:picLocks noChangeAspect="1" noChangeArrowheads="1"/>
                          </pic:cNvPicPr>
                        </pic:nvPicPr>
                        <pic:blipFill>
                          <a:blip r:embed="rId14" cstate="hqprint"/>
                          <a:srcRect/>
                          <a:stretch>
                            <a:fillRect/>
                          </a:stretch>
                        </pic:blipFill>
                        <pic:spPr>
                          <a:xfrm>
                            <a:off x="0" y="0"/>
                            <a:ext cx="4140200" cy="2335530"/>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hint="eastAsia" w:ascii="宋体" w:hAnsi="宋体" w:eastAsia="宋体" w:cs="宋体"/>
              </w:rPr>
            </w:pPr>
            <w:r>
              <w:rPr>
                <w:rFonts w:hint="eastAsia" w:ascii="宋体" w:hAnsi="宋体" w:eastAsia="宋体" w:cs="宋体"/>
                <w:sz w:val="21"/>
                <w:szCs w:val="21"/>
              </w:rPr>
              <w:t>项目建成通车后，海丰县东部部分乡镇告别了无高速公路的历史，从汕尾市区到梅州可省40分钟车程。同时，该项目作为贯穿海陆丰革命老区东部南北的交通大动脉，与东西向的潮惠高速、深汕高速连接成网，对于完善路网结构、促进粤东北地区全面振兴发展具有深远的影响。</w:t>
            </w:r>
          </w:p>
        </w:tc>
      </w:tr>
    </w:tbl>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普通国省道网络持续优化。</w:t>
      </w:r>
      <w:r>
        <w:rPr>
          <w:rFonts w:hint="eastAsia" w:ascii="宋体" w:hAnsi="宋体" w:eastAsia="宋体" w:cs="宋体"/>
          <w:color w:val="000000"/>
          <w:sz w:val="24"/>
          <w:szCs w:val="32"/>
        </w:rPr>
        <w:t>“十三五”期间，海丰县不断推进普通国省道提质改造，完成实施S242线经黄羌至陆河新田公路海丰段、海丰县南三环路至联安镇坡平村柏油路建设工程；推进莲花大道项目累计完成工程量约24957万元，现已全面建成通车；积极推进G324线海丰县城至梅陇段改扩建，2020年12月开始动工建设，截至目前，已累计完成总投资的28%；积极推进G324线海丰可塘至县城段的改扩建，已完成工程可行性报告编制上报审批等前期工作；积极推进G228线海丰梅陇至后门段、G235线南坑至公平镇段、G235线海丰县公平镇过境段、G235线海丰县城至梅陇段、G236线高谭岭至公平段、G236线海丰县城过境段等6个国省道升级改造项目的规划。全县普通国省干线公路网逐步完善，有效连通了县域内重点产业、旅游节点，干线公路服务效能有效提升。</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四好农村公路建设量质并举。</w:t>
      </w:r>
      <w:r>
        <w:rPr>
          <w:rFonts w:hint="eastAsia" w:ascii="宋体" w:hAnsi="宋体" w:eastAsia="宋体" w:cs="宋体"/>
          <w:color w:val="000000"/>
          <w:sz w:val="24"/>
          <w:szCs w:val="32"/>
        </w:rPr>
        <w:t>“十三五”期间，海丰县按照省委省政府、市委市政府关于乡村振兴战略部署，加大资金投入力度，量质并举，全力推进四好农村公路建设，助力乡村振兴发展，打赢脱贫攻坚战。至2020年底，全县农村公路里程达到1319.40公里，完成建设资金投入6648.71万元，完成通行政村的道路100%硬底化，实现具备通行条件的行政村100%通客车。目前海丰县正在实施“四好农村路”决胜攻坚建设项目共计75.434公里，将进一步形成与高速公路、国省干线有效连接，覆盖全县、乡、建制村及一定人口规模自然村的互联互通的农村公路网络。</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（2）轨道交通建设稳步推进</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 xml:space="preserve"> “十三五”期间，海丰主动响应国省重大战略，积极融入“双区”驱动和全省“一核一带一区”区域发展格局，积极配合推进高速铁路建设，全力推进广汕高铁、汕汕高铁等高铁项目前期工作。项目建成后将有助于海丰提升对外通道能力，提升百姓出行品质，缩短与大湾区的时空距离，积极融入“珠三角”“汕潮揭”一小时经济圈。</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（3）干线公路安防水平大幅提升</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十三五”期间，海丰县陆续完成G228线、G235线、G236线、S241线4条干线公路的5个公路安全生命防护工程的建设，完成治理里程共计54.862公里；同时完成大液二桥、大钳西桥、青年水库桥、鹤田桥、尚仁家桥、长桥二桥6座危桥的改造工作，保障了农村公路沿线居民的出行安全，方便了沿线乡镇等地经济往来，对于完善区域公路运输网及促进农村经济发展具有重要意义。</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2.交通运输服务水平日益提升</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公路货运能力不断增强。</w:t>
      </w:r>
      <w:r>
        <w:rPr>
          <w:rFonts w:hint="eastAsia" w:ascii="宋体" w:hAnsi="宋体" w:eastAsia="宋体" w:cs="宋体"/>
          <w:color w:val="000000"/>
          <w:sz w:val="24"/>
          <w:szCs w:val="32"/>
        </w:rPr>
        <w:t>“十三五”期间，海丰县客货运输结构持续优化。受新冠疫情影响，2020年客运量332万人，同比下降29.36%，旅客周转量25540万人公里，同比下降5.07%；货运量888万吨，同比增长19.19%；货物周转量92132万吨公里，同比增长4.83%，公路货运能力保持稳定正增长。</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落实农村客车“村村通”。</w:t>
      </w:r>
      <w:r>
        <w:rPr>
          <w:rFonts w:hint="eastAsia" w:ascii="宋体" w:hAnsi="宋体" w:eastAsia="宋体" w:cs="宋体"/>
          <w:color w:val="000000"/>
          <w:sz w:val="24"/>
          <w:szCs w:val="32"/>
        </w:rPr>
        <w:t>“十三五”期间，海丰县积极落实上级“村村通”的工作，成立建制村通客车核查工作小组并赴全县12个镇203个建制村，深入核实建制村通车、候车亭和招呼站设置、服务质量、安全运营等情况，实现具备通行条件的行政村100%通客车，为广大农村居民出行提供了更优质的条件。</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公共交通“科学化”发展。</w:t>
      </w:r>
      <w:r>
        <w:rPr>
          <w:rFonts w:hint="eastAsia" w:ascii="宋体" w:hAnsi="宋体" w:eastAsia="宋体" w:cs="宋体"/>
          <w:color w:val="000000"/>
          <w:sz w:val="24"/>
          <w:szCs w:val="32"/>
        </w:rPr>
        <w:t>“十三五”期间，海丰县新规划了公交线路11条，预设6条延长线辐射到重点镇，新增公交站点84个，线路总里程128.27公里。规划建设公交站点（候车亭、临时站牌）412个。其中，利用现有272个公交站点，新增建设公交站点140个。</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新能源运输“绿色化”发展。</w:t>
      </w:r>
      <w:r>
        <w:rPr>
          <w:rFonts w:hint="eastAsia" w:ascii="宋体" w:hAnsi="宋体" w:eastAsia="宋体" w:cs="宋体"/>
          <w:b w:val="0"/>
          <w:bCs w:val="0"/>
          <w:color w:val="000000"/>
          <w:sz w:val="24"/>
          <w:szCs w:val="32"/>
        </w:rPr>
        <w:t>“</w:t>
      </w:r>
      <w:r>
        <w:rPr>
          <w:rFonts w:hint="eastAsia" w:ascii="宋体" w:hAnsi="宋体" w:eastAsia="宋体" w:cs="宋体"/>
          <w:color w:val="000000"/>
          <w:sz w:val="24"/>
          <w:szCs w:val="32"/>
        </w:rPr>
        <w:t>十三五”期间，海丰县不断加快交通行业推广新能源应用工作，目前全县燃油类公共汽车和出租车已全面完成更新换代，拥有新能源出租车58辆，新能源公交车300辆，新能源汽车停保场2个，充电桩105个。</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交通信息建设“智慧化”发展。“十三五”期间，完成县城公交车红海通100%全覆盖，实现了微信支付等电子支付方式，以及智能报站功能，方便了乘客的出行需要。</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3.交通行业治理体系逐步完善</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行业监督管理水平显著提升。</w:t>
      </w:r>
      <w:r>
        <w:rPr>
          <w:rFonts w:hint="eastAsia" w:ascii="宋体" w:hAnsi="宋体" w:eastAsia="宋体" w:cs="宋体"/>
          <w:color w:val="000000"/>
          <w:sz w:val="24"/>
          <w:szCs w:val="32"/>
        </w:rPr>
        <w:t>五年来，海丰县相关部门持续排查治理全县“两客一危”企业、客运站场和维修企业安全隐患和上级安全生产部署落实情况，主要检查客运站场安全管理机构设置、站场封闭式管理和“三不进站、六不出站”、进（出）站口、旅客安检、车辆安检等岗位人员在位履职、消防设施配备、旅客实名制售票、车辆回场必检记录等情况；检查道路运输企业车辆动态监控系统安装、运行、值班、预警提示、违章处理情况；检查危货运输车辆、驾驶人、押运员资质和检测、证照及安全设施设备等情况；落实35户一、二、三类机动车维修企业签订了《2020年度海丰县机动车维修行业安全生产责任书》；累计检查持证驾培机构60余次，责令整改12宗，查处非法招生点5家并取缔了其中4家，查处、取缔非法教练场1次，向深汕合作区移交2家驾校，整改外观标识不规范教学车辆27辆，清退非法教练车出场27辆，查扣非法车辆32辆。</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治超执法工作卓有成效。</w:t>
      </w:r>
      <w:r>
        <w:rPr>
          <w:rFonts w:hint="eastAsia" w:ascii="宋体" w:hAnsi="宋体" w:eastAsia="宋体" w:cs="宋体"/>
          <w:color w:val="000000"/>
          <w:sz w:val="24"/>
          <w:szCs w:val="32"/>
        </w:rPr>
        <w:t>“十三五”时期，为加强治超工作力度，整顿货运行业乱象问题，维护货运行业市场健康发展，县交通运输局执法队伍大力开展打击超限超载违法行为和整顿货运乱象专项行动，2020年在国道324线可塘埔上公路养护中心设置治超卸货场并投入使用，同时联合交警部门启动联合治超执法工作，采取流动执法巡查与设点设岗定点检查与结合的方式，充分发挥科技治超执法手段，严厉打击道路货运车辆超限超载、非法改装等违法违章行为。与交警部门联合查处超限超载货车565宗，有效打击货运车辆超限超载现象，取得良好的整治效果。</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交通运输行政审批服务不断加强。</w:t>
      </w:r>
      <w:r>
        <w:rPr>
          <w:rFonts w:hint="eastAsia" w:ascii="宋体" w:hAnsi="宋体" w:eastAsia="宋体" w:cs="宋体"/>
          <w:color w:val="000000"/>
          <w:sz w:val="24"/>
          <w:szCs w:val="32"/>
        </w:rPr>
        <w:t>“十三五”期间，行业行政审批服务水平不断提升，群众、企业办理相关业务效率大大提高。五年间，海丰县交通运输主管部门办理行政许可和行政服务事项共计7574件。其中新增许可612件，配发道路运输证2436件；公路工程施工许可2件；公路路政许可1件；机动车维修经营备案209件；换证、转出、注销、车辆年审等业务1264件，办理普货车辆网上年审1301件、客运车辆网上年审663件，办结率100%。新增县内客运班线12条，新增客运车辆69部，货运公司18家，驾校2家。</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000000"/>
          <w:sz w:val="24"/>
          <w:szCs w:val="32"/>
        </w:rPr>
      </w:pPr>
      <w:r>
        <w:rPr>
          <w:rFonts w:hint="eastAsia" w:ascii="宋体" w:hAnsi="宋体" w:eastAsia="宋体" w:cs="宋体"/>
        </w:rPr>
        <w:drawing>
          <wp:inline distT="0" distB="0" distL="0" distR="0">
            <wp:extent cx="5400040" cy="3634105"/>
            <wp:effectExtent l="9525" t="9525" r="19685" b="13970"/>
            <wp:docPr id="7" name="图片 7" descr="F:\——十四五综合交通规划\海丰县十四五规划\出图\海丰十四五图集\新图集\01海丰县交通现状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十四五综合交通规划\海丰县十四五规划\出图\海丰十四五图集\新图集\01海丰县交通现状示意图.jpg"/>
                    <pic:cNvPicPr>
                      <a:picLocks noChangeAspect="1" noChangeArrowheads="1"/>
                    </pic:cNvPicPr>
                  </pic:nvPicPr>
                  <pic:blipFill>
                    <a:blip r:embed="rId15" cstate="hqprint"/>
                    <a:srcRect/>
                    <a:stretch>
                      <a:fillRect/>
                    </a:stretch>
                  </pic:blipFill>
                  <pic:spPr>
                    <a:xfrm>
                      <a:off x="0" y="0"/>
                      <a:ext cx="5400040" cy="3634105"/>
                    </a:xfrm>
                    <a:prstGeom prst="rect">
                      <a:avLst/>
                    </a:prstGeom>
                    <a:noFill/>
                    <a:ln w="6350">
                      <a:solidFill>
                        <a:schemeClr val="tx1"/>
                      </a:solidFill>
                    </a:ln>
                  </pic:spPr>
                </pic:pic>
              </a:graphicData>
            </a:graphic>
          </wp:inline>
        </w:drawing>
      </w:r>
    </w:p>
    <w:p>
      <w:pPr>
        <w:pageBreakBefore w:val="0"/>
        <w:widowControl w:val="0"/>
        <w:kinsoku/>
        <w:wordWrap/>
        <w:overflowPunct/>
        <w:topLinePunct w:val="0"/>
        <w:autoSpaceDE/>
        <w:autoSpaceDN/>
        <w:bidi w:val="0"/>
        <w:snapToGrid/>
        <w:spacing w:line="54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图7 海丰县综合交通运输发展现状示意图</w:t>
      </w:r>
    </w:p>
    <w:p>
      <w:pPr>
        <w:keepNext w:val="0"/>
        <w:keepLines w:val="0"/>
        <w:pageBreakBefore w:val="0"/>
        <w:widowControl w:val="0"/>
        <w:kinsoku/>
        <w:wordWrap/>
        <w:overflowPunct/>
        <w:topLinePunct w:val="0"/>
        <w:autoSpaceDE/>
        <w:autoSpaceDN/>
        <w:bidi w:val="0"/>
        <w:adjustRightInd/>
        <w:snapToGrid/>
        <w:spacing w:before="157" w:beforeLines="50" w:after="157" w:afterLines="50" w:line="540" w:lineRule="exact"/>
        <w:ind w:left="0" w:leftChars="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第三节 主要存在问题</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十三五”时期，海丰县综合交通运输体系发展总体成效显著，但仍存在着交通基础设施相对薄弱、运输服务水平发展不充分等问题，与新时期建设交通强国、交通强省，以及打造成为“沿海经济带靓丽明珠排头兵”的目标相比，尚存在一定差距，交通领域的支撑和引领作用有待进一步加强。</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1.公路运输为主导，综合交通运输体系有待构建</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海丰县综合交通运输体系尚未完全成形，综合交通基础设施仍处于加速成网阶段，</w:t>
      </w:r>
      <w:r>
        <w:rPr>
          <w:rFonts w:hint="eastAsia" w:ascii="宋体" w:hAnsi="宋体" w:eastAsia="宋体" w:cs="宋体"/>
          <w:color w:val="000000"/>
          <w:sz w:val="24"/>
          <w:szCs w:val="32"/>
        </w:rPr>
        <w:tab/>
      </w:r>
      <w:r>
        <w:rPr>
          <w:rFonts w:hint="eastAsia" w:ascii="宋体" w:hAnsi="宋体" w:eastAsia="宋体" w:cs="宋体"/>
          <w:color w:val="000000"/>
          <w:sz w:val="24"/>
          <w:szCs w:val="32"/>
        </w:rPr>
        <w:t>综合交通运输体系有待加强。至“十三五”末，海丰县境内铁路运营里程为21.9公里，铁路密度为1.71公里/百平方公里，低于全市1.96公里/百平方公里的平均水平。目前海丰县县域内尚无航空基础设施，航空出行主要依托周边城市机场，中长距离出行较为不便，难以满足群众民航出行需求。铁路、航空发展滞后影响了海丰县运输结构调整及多式联运发展步伐。</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2.高等级公路占比低，路网结构有待优化</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至“十三五”末，海丰县公路网密度为120.50公里/百平方公里，低于全市125.17公里/百平方公里以及全省124.72公里/百平方公里的平均路网密度，公路网络仍待进一步加密。从路网技术等级结构来看，高等级公路占比依然偏低，目前海丰县公路网中二级及以上公路占比为18.37%，低于广东省二级及以上公路19.00%的占比。国省干线的升级改造推进较慢，仍有14.92%的国道为三级公路，23.80%的省道为四级公路。农村公路仍需进一步提质增效，提升技术等级和铺装水平。从路网布局结构来看，现状对外运输大通道布局不充分，县域西部的梅陇镇、联安镇等镇区是衔接周边地市的薄弱环节，缺少南北向快速通道。现状干线路网通达深度欠缺，应进一步强化与乡村旅游区与重要产业点的衔接。</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3.货运物流基础薄弱，配套设施建设亟待加强</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目前海丰县货运物流基础仍较为薄弱，物流枢纽站场、物流园区、仓储等物流基础设施建设相对滞后，物流标准化和信息化水平低，导致物流成本重、效率低。货运物流企业整体竞争力不强，大多数物流园区、物流配送中心等物流运作基础设施大部分还处在规划起步阶段，大部分企业以“小、散、差”存在，体量偏小未成规模，运输装备标准化、组织化和专业化总体不高。运输方式主要以公路运输为主，但却缺少强有力的综合物流枢纽作为支撑，配套设施与高速通道的联系不够紧密。</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4.城乡客运发展滞后，运输服务水平有待提升</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海丰县现状客运服务有效供给能力不足，运输方式较为单一，主要依托公路运输，难以满足多层次的客运需求。城乡客运发展不平衡，线路通达深度、覆盖水平不足，各乡镇的公交换乘站、首末站等基础设施明显不足。农村客运与城市公交发展不够协调，也导致一定程度上的衔接不畅，客运服务无法惠及各个乡镇。随着城市规模扩张，乡镇居民对高质量出行的需求也愈发强烈。</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5.交通行业支持保障体系仍需健全，信息化水平有待提高</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海丰县交通运输行业现代化治理体系尚未健全，信息化发展水平滞后，管理机制配置不够完善，尚未建立综合性交通信息化管理平台以及电子政务系统，在交通运行态势评估、交通运行动态监测、交通应急调度指挥、交通数据分析决策和交通信息服务管理方面缺乏快捷方便的信息化手段，一定程度上制约了海丰交通发展。同时，行业精细化管理水平、执法水平和执法队伍整体素质仍需进一步拔高。</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p>
    <w:p>
      <w:pPr>
        <w:rPr>
          <w:rFonts w:hint="eastAsia" w:ascii="宋体" w:hAnsi="宋体" w:eastAsia="宋体" w:cs="宋体"/>
          <w:color w:val="000000"/>
          <w:sz w:val="24"/>
          <w:szCs w:val="32"/>
        </w:rPr>
      </w:pPr>
      <w:r>
        <w:rPr>
          <w:rFonts w:hint="eastAsia" w:ascii="宋体" w:hAnsi="宋体" w:eastAsia="宋体" w:cs="宋体"/>
          <w:color w:val="000000"/>
          <w:sz w:val="24"/>
          <w:szCs w:val="32"/>
        </w:rPr>
        <w:br w:type="page"/>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color w:val="000000"/>
          <w:sz w:val="44"/>
          <w:szCs w:val="44"/>
        </w:rPr>
      </w:pPr>
      <w:r>
        <w:rPr>
          <w:rFonts w:hint="eastAsia" w:ascii="宋体" w:hAnsi="宋体" w:eastAsia="宋体" w:cs="宋体"/>
          <w:color w:val="000000"/>
          <w:sz w:val="44"/>
          <w:szCs w:val="44"/>
        </w:rPr>
        <w:t>第二章</w:t>
      </w:r>
      <w:r>
        <w:rPr>
          <w:rFonts w:hint="eastAsia" w:ascii="宋体" w:hAnsi="宋体" w:eastAsia="宋体" w:cs="宋体"/>
          <w:color w:val="000000"/>
          <w:sz w:val="44"/>
          <w:szCs w:val="44"/>
          <w:lang w:val="en-US" w:eastAsia="zh-CN"/>
        </w:rPr>
        <w:t xml:space="preserve">  </w:t>
      </w:r>
      <w:r>
        <w:rPr>
          <w:rFonts w:hint="eastAsia" w:ascii="宋体" w:hAnsi="宋体" w:eastAsia="宋体" w:cs="宋体"/>
          <w:color w:val="000000"/>
          <w:sz w:val="44"/>
          <w:szCs w:val="44"/>
        </w:rPr>
        <w:t>发展形势及需求</w:t>
      </w:r>
    </w:p>
    <w:p>
      <w:pPr>
        <w:keepNext w:val="0"/>
        <w:keepLines w:val="0"/>
        <w:pageBreakBefore w:val="0"/>
        <w:widowControl w:val="0"/>
        <w:kinsoku/>
        <w:wordWrap/>
        <w:overflowPunct/>
        <w:topLinePunct w:val="0"/>
        <w:autoSpaceDE/>
        <w:autoSpaceDN/>
        <w:bidi w:val="0"/>
        <w:adjustRightInd/>
        <w:snapToGrid/>
        <w:spacing w:before="157" w:beforeLines="50" w:after="157" w:afterLines="50" w:line="540" w:lineRule="exact"/>
        <w:ind w:left="0" w:leftChars="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第一节</w:t>
      </w:r>
      <w:r>
        <w:rPr>
          <w:rFonts w:hint="eastAsia" w:ascii="宋体" w:hAnsi="宋体" w:eastAsia="宋体" w:cs="宋体"/>
          <w:color w:val="000000"/>
          <w:sz w:val="28"/>
          <w:szCs w:val="28"/>
          <w:lang w:val="en-US" w:eastAsia="zh-CN"/>
        </w:rPr>
        <w:t xml:space="preserve">  </w:t>
      </w:r>
      <w:r>
        <w:rPr>
          <w:rFonts w:hint="eastAsia" w:ascii="宋体" w:hAnsi="宋体" w:eastAsia="宋体" w:cs="宋体"/>
          <w:color w:val="000000"/>
          <w:sz w:val="28"/>
          <w:szCs w:val="28"/>
        </w:rPr>
        <w:t>发展形势</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1.强化“双区”引领，要求海丰加快交通基础设施建设</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抓住粤港澳大湾区以及深圳中国特色社会主义先行示范区的历史机遇，主动对接双区，尤其是深港、广佛、珠澳三大核心组团，主动参与谋划与实施一批交通基础设施建设项目，全面提升交通基础设施的对外连通能力，完善内联外畅的交通大动脉。同时，海丰县可通过加强高铁、高速、国省干道、机场等重大基础设施的建设，助力国内大循环为主体，国内国际双循环相互促进的新发展格局。</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2.落实交通强国，要求海丰完善综合立体交通网络</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交通强国建设纲要》指出，未来要基本形成现代化综合交通体系，拥有发达的快速网、完善的干线网、广泛的基础网，城乡区域交通协调发展达到新高度。经济要发展，交通须先行，为了更好地适应经济发展新格局，服务好重大战略的部署落实，海丰亟需在交通运输领域加强全局谋划，积极对接上层规划，从快速网、干线网、基础网以及农村公路多层次加强海丰中心城区、乡镇之间的协调发展，提高城市组团与城乡之间的可达性，构建完善的内通外联综合交通运输网络，进一步提高交通网络的通达深度和覆盖广度。</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3.振兴革命老区，要求海丰打造高效综合运输通道</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海陆丰作为全国唯一临海的革命老区，应该积极发展自身特殊的区位优势，积极参与“一带一路”中海上丝绸之路建设。海丰需要加快构建外联内通的交通运输大通道，大力推进铁路建设、加速建设区域高速公路网、优化提升国省道，实现与珠三角、粤东北地区通道快捷联通，成为支撑沿海经济带发展的重要保证。加强与粤港澳大湾区、海峡西岸经济区的联动发展，加大引资引智引技力度，大力发展国际商贸物流，打造革命老区参与“一带一路”建设示范区。</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4.对接深汕合作区，要求海丰主动落实交通协同发展要求</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2019年，深汕特别合作区发布《深汕特别合作区高质量发展三年行动计划（2019-2021年）》，提出到2021年建成粤东沿海经济带新中心、深圳自主创新拓展区、现代化国际性滨海智慧新城。深汕特别合作区作为深圳飞地，为汕尾的发展提供了重要机遇。而海丰作为汕尾毗邻深汕合作区的重要节点城市，要紧紧抓住历史机遇，充分发挥区位优势，主动融入深汕合作区，提升交通网络的协同发展水平。</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5.支撑乡村振兴，要求海丰加速提升运输服务品质</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国家乡村振兴战略规划（2018-2022年）》指出要改善农村交通物流设施条件，以示范县为载体全面推进“四好农村路”建设；深化农村公路管理养护体制改革，健全管理养护长效机制，完善安全防护设施，保障农村地区基本出行条件。为全面推进乡村振兴，促进乡村经济发展，打造美丽乡村，亟需完善农村交通基础设施网与全面推进“四好农村路”的建设，争做“四好农村路”的建设示范县。着力优化全县交通网络结构，积极推动农村交通基础设施建设，加强县、镇、村之间的通达能力，坚持建管并重、养运同抓，有效提升交通治理新能力，切实保障交通物流运输通畅，提升运输服务质量。</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6.保证顺畅出行，要求海丰发展绿色交通出行系统</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随着海丰人口持续增加、经济状况逐渐增强、城市结构不断更新，人们对出行的需求快速增长的同时，人们对出行的要求也日益提升。为保证顺畅的出行体验，需要改变海丰的出行结构，转变交通发展模式，提高交通出行效率。大力发展公共交通，推进接驳换乘配套设施的建设，提高公交安全运营服务水平，落实公交场站和路权优先，为广大群众提供快捷、安全、方便、舒适的公交服务。</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7.引领创新发展，要求海丰推动智慧交通设施建设</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随着5G、大数据、车联网、云计算、人工智能等新技术的诞生，交通行业也迎来了一波产业变革。新时代的产业融合，加快了交通系统智能化、无人化、共享化的发展趋势。海丰县应紧跟交通行业发展潮流，抓住国家“新基建”机遇，积极推进智慧交通设施的建设，着力关注大数据、新能源、新材料等新兴科技，提升全县交通管理智慧化水平，打造数字化、网络化、绿色化、智能化的交通运输网络。</w:t>
      </w:r>
    </w:p>
    <w:p>
      <w:pPr>
        <w:keepNext w:val="0"/>
        <w:keepLines w:val="0"/>
        <w:pageBreakBefore w:val="0"/>
        <w:widowControl w:val="0"/>
        <w:kinsoku/>
        <w:wordWrap/>
        <w:overflowPunct/>
        <w:topLinePunct w:val="0"/>
        <w:autoSpaceDE/>
        <w:autoSpaceDN/>
        <w:bidi w:val="0"/>
        <w:adjustRightInd/>
        <w:snapToGrid/>
        <w:spacing w:before="157" w:beforeLines="50" w:after="157" w:afterLines="50" w:line="540" w:lineRule="exact"/>
        <w:ind w:left="0" w:leftChars="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第二节</w:t>
      </w:r>
      <w:r>
        <w:rPr>
          <w:rFonts w:hint="eastAsia" w:ascii="宋体" w:hAnsi="宋体" w:eastAsia="宋体" w:cs="宋体"/>
          <w:color w:val="000000"/>
          <w:sz w:val="28"/>
          <w:szCs w:val="28"/>
          <w:lang w:val="en-US" w:eastAsia="zh-CN"/>
        </w:rPr>
        <w:t xml:space="preserve">  </w:t>
      </w:r>
      <w:r>
        <w:rPr>
          <w:rFonts w:hint="eastAsia" w:ascii="宋体" w:hAnsi="宋体" w:eastAsia="宋体" w:cs="宋体"/>
          <w:color w:val="000000"/>
          <w:sz w:val="28"/>
          <w:szCs w:val="28"/>
        </w:rPr>
        <w:t>阶段特征</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十四五”期是加快推进交通强国建设的起步期，是进入新时代化解交通运输发展主要矛盾、推动交通运输高质量发展的换挡期，是统筹综合交通运输体系存量与增量、优化结构、融合发展的提质期。人民群众对运输多样化、高品质、高效率的要求更高，交通基础设施建设仍将保持一定规模。</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总体而言，“十四五”期海丰县交通运输应按照高质量发展的要求，补短板、优结构、提品质、促发展，加快构建高效运转的综合立体交通运输网络，全力打造高品质公路网，积极配合铁路等重大项目的落地实施，加强综合交通枢纽集疏运体系建设，注重智能交通、绿色交通及平安交通的深入发展，进一步提升交通运输行业治理水平，全面推动海丰县综合交通运输体系的提档升级。</w:t>
      </w:r>
    </w:p>
    <w:p>
      <w:pPr>
        <w:keepNext w:val="0"/>
        <w:keepLines w:val="0"/>
        <w:pageBreakBefore w:val="0"/>
        <w:widowControl w:val="0"/>
        <w:kinsoku/>
        <w:wordWrap/>
        <w:overflowPunct/>
        <w:topLinePunct w:val="0"/>
        <w:autoSpaceDE/>
        <w:autoSpaceDN/>
        <w:bidi w:val="0"/>
        <w:adjustRightInd/>
        <w:snapToGrid/>
        <w:spacing w:before="157" w:beforeLines="50" w:after="157" w:afterLines="50" w:line="540" w:lineRule="exact"/>
        <w:ind w:left="0" w:leftChars="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第三节</w:t>
      </w:r>
      <w:r>
        <w:rPr>
          <w:rFonts w:hint="eastAsia" w:ascii="宋体" w:hAnsi="宋体" w:eastAsia="宋体" w:cs="宋体"/>
          <w:color w:val="000000"/>
          <w:sz w:val="28"/>
          <w:szCs w:val="28"/>
          <w:lang w:val="en-US" w:eastAsia="zh-CN"/>
        </w:rPr>
        <w:t xml:space="preserve">  </w:t>
      </w:r>
      <w:r>
        <w:rPr>
          <w:rFonts w:hint="eastAsia" w:ascii="宋体" w:hAnsi="宋体" w:eastAsia="宋体" w:cs="宋体"/>
          <w:color w:val="000000"/>
          <w:sz w:val="28"/>
          <w:szCs w:val="28"/>
        </w:rPr>
        <w:t>发展需求</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1.客运需求特征</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（1）居民出行总量提升、出行结构转变</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基于对经济人口稳步增长、新型城镇化进程加快以及居民消费能力快速提高的判断，海丰县客运总量将呈现进一步增长态势。随着海丰红色旅游资源的不断开发，居民出行结构目的也将多元化，旅游、休闲出行占比将持续提高。</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（2）与周边城市联系进一步加强</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随着深汕合作区发展的不断推进，海丰县与周边地区的快速通勤需求将不断提高。海丰地处汕尾市融入大湾区的前沿位置，区位优势明显，生态旅游资源富集，周边城市节假日旅游、自驾车出行等将会出现快速增长。</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（3）客运服务趋向于“高品质、优体验”</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随着社会发展，居民出行服务要求更趋向于便捷、舒适、安全、均等，主要体现为需要更加高频高发的城乡客运和更加便捷舒适的轨道交通，并强调快速准时、多方式衔接、零距离换乘等。客运服务不仅要继续提高公共服务均等化水平，提升居民出行效率，更要注重出行过程中的居民的体验感、幸福感。</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2.货运需求特征</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（1）货运规模持续扩张</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随着融湾步伐加快以及深汕经济合作区的深入构建，将加速海丰承接“双区”产业转移和升级，运输强度和需求层次将持续发生变化，所需运输货物的总量和运输频率也将不断增多，货运规模将进一步扩张。</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（2）货运物流趋向于“高效率、低成本”</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根据有关研究，从“十四五”到2030年前后，我国大宗散货运量达到峰值，货运量增速下降，货运需求由高速增长进入一个长期的平稳增长期。未来单位GDP货运强度虽有所降低，货运总需求仍将持续增加。提高物流效率、降低物流成本成为全社会的价值追求，多式联运发展需求明显增加，货运一体化水平将成为衡量物流效率的重要标志。</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3.客货运量需求预测</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结合2015-2020年海丰县客货运输量的发展趋势，并根据对未来内外发展形势及客货运输需求特征的判断，采用弹性系数法、趋势外推法等多种方法进行分析，预测得到海丰县“十四五”期间客货运量需求。</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未来海丰县客货运量仍呈现稳步增长态势，公路客货运输量依然占主导地位。随着铁路、港口等基础设施的不断完善，运输结构的深入调整，公路客运量将部分向铁路转移，增速较“十三五”时期有所放缓；公路货运量将</w:t>
      </w:r>
      <w:r>
        <w:rPr>
          <w:rFonts w:hint="eastAsia" w:ascii="宋体" w:hAnsi="宋体" w:eastAsia="宋体" w:cs="宋体"/>
          <w:color w:val="000000"/>
          <w:sz w:val="24"/>
          <w:szCs w:val="32"/>
          <w:lang w:eastAsia="zh-CN"/>
        </w:rPr>
        <w:t>小</w:t>
      </w:r>
      <w:r>
        <w:rPr>
          <w:rFonts w:hint="eastAsia" w:ascii="宋体" w:hAnsi="宋体" w:eastAsia="宋体" w:cs="宋体"/>
          <w:color w:val="000000"/>
          <w:sz w:val="24"/>
          <w:szCs w:val="32"/>
        </w:rPr>
        <w:t>部分向水路转移，并保持平稳增速。受新冠疫情影响，海丰县2020年的客运量均出现了大幅下降，为准确预测“十四五”的客货运需求，本报告选取2019年作为预测基年。根据预测，至“十四五”末，海丰县公路客运量为581万人，年均增速3.5%；公路货运量为1649万吨，年均增速9.4%。</w:t>
      </w:r>
    </w:p>
    <w:p>
      <w:pPr>
        <w:pageBreakBefore w:val="0"/>
        <w:widowControl w:val="0"/>
        <w:kinsoku/>
        <w:wordWrap/>
        <w:overflowPunct/>
        <w:topLinePunct w:val="0"/>
        <w:autoSpaceDE/>
        <w:autoSpaceDN/>
        <w:bidi w:val="0"/>
        <w:snapToGrid/>
        <w:spacing w:line="54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表4</w:t>
      </w:r>
      <w:r>
        <w:rPr>
          <w:rFonts w:hint="eastAsia" w:ascii="宋体" w:hAnsi="宋体" w:eastAsia="宋体" w:cs="宋体"/>
          <w:b/>
          <w:bCs/>
          <w:color w:val="000000"/>
          <w:sz w:val="21"/>
          <w:szCs w:val="21"/>
          <w:lang w:val="en-US" w:eastAsia="zh-CN"/>
        </w:rPr>
        <w:t xml:space="preserve">  </w:t>
      </w:r>
      <w:r>
        <w:rPr>
          <w:rFonts w:hint="eastAsia" w:ascii="宋体" w:hAnsi="宋体" w:eastAsia="宋体" w:cs="宋体"/>
          <w:b/>
          <w:bCs/>
          <w:color w:val="000000"/>
          <w:sz w:val="21"/>
          <w:szCs w:val="21"/>
        </w:rPr>
        <w:t>海丰县“十四五”客货运输量需求预测</w:t>
      </w:r>
    </w:p>
    <w:tbl>
      <w:tblPr>
        <w:tblStyle w:val="6"/>
        <w:tblW w:w="850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8"/>
        <w:gridCol w:w="1703"/>
        <w:gridCol w:w="1701"/>
        <w:gridCol w:w="1701"/>
        <w:gridCol w:w="170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397" w:hRule="atLeast"/>
          <w:jc w:val="center"/>
        </w:trPr>
        <w:tc>
          <w:tcPr>
            <w:tcW w:w="999" w:type="pct"/>
            <w:vMerge w:val="restar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指标</w:t>
            </w:r>
          </w:p>
        </w:tc>
        <w:tc>
          <w:tcPr>
            <w:tcW w:w="1001"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客运量</w:t>
            </w:r>
          </w:p>
        </w:tc>
        <w:tc>
          <w:tcPr>
            <w:tcW w:w="1000"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客运周转量</w:t>
            </w:r>
          </w:p>
        </w:tc>
        <w:tc>
          <w:tcPr>
            <w:tcW w:w="1000"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货运量</w:t>
            </w:r>
          </w:p>
        </w:tc>
        <w:tc>
          <w:tcPr>
            <w:tcW w:w="1000"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货运周转量</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sz w:val="21"/>
                <w:szCs w:val="21"/>
              </w:rPr>
            </w:pPr>
          </w:p>
        </w:tc>
        <w:tc>
          <w:tcPr>
            <w:tcW w:w="1001"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公路</w:t>
            </w:r>
          </w:p>
        </w:tc>
        <w:tc>
          <w:tcPr>
            <w:tcW w:w="1000"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公路</w:t>
            </w:r>
          </w:p>
        </w:tc>
        <w:tc>
          <w:tcPr>
            <w:tcW w:w="1000"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公路</w:t>
            </w:r>
          </w:p>
        </w:tc>
        <w:tc>
          <w:tcPr>
            <w:tcW w:w="1000"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公路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单位</w:t>
            </w:r>
          </w:p>
        </w:tc>
        <w:tc>
          <w:tcPr>
            <w:tcW w:w="1001"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万人</w:t>
            </w:r>
          </w:p>
        </w:tc>
        <w:tc>
          <w:tcPr>
            <w:tcW w:w="1000"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万人公里</w:t>
            </w:r>
          </w:p>
        </w:tc>
        <w:tc>
          <w:tcPr>
            <w:tcW w:w="1000"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万吨</w:t>
            </w:r>
          </w:p>
        </w:tc>
        <w:tc>
          <w:tcPr>
            <w:tcW w:w="1000"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万吨公里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2019年</w:t>
            </w:r>
          </w:p>
        </w:tc>
        <w:tc>
          <w:tcPr>
            <w:tcW w:w="1001"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473</w:t>
            </w:r>
          </w:p>
        </w:tc>
        <w:tc>
          <w:tcPr>
            <w:tcW w:w="1000"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45858</w:t>
            </w:r>
          </w:p>
        </w:tc>
        <w:tc>
          <w:tcPr>
            <w:tcW w:w="1000"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962</w:t>
            </w:r>
          </w:p>
        </w:tc>
        <w:tc>
          <w:tcPr>
            <w:tcW w:w="1000"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115975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2025年</w:t>
            </w:r>
          </w:p>
        </w:tc>
        <w:tc>
          <w:tcPr>
            <w:tcW w:w="1001"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581</w:t>
            </w:r>
          </w:p>
        </w:tc>
        <w:tc>
          <w:tcPr>
            <w:tcW w:w="1000"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55721</w:t>
            </w:r>
          </w:p>
        </w:tc>
        <w:tc>
          <w:tcPr>
            <w:tcW w:w="1000"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1649</w:t>
            </w:r>
          </w:p>
        </w:tc>
        <w:tc>
          <w:tcPr>
            <w:tcW w:w="1000"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195575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年均增速</w:t>
            </w:r>
          </w:p>
        </w:tc>
        <w:tc>
          <w:tcPr>
            <w:tcW w:w="1001"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3.5%</w:t>
            </w:r>
          </w:p>
        </w:tc>
        <w:tc>
          <w:tcPr>
            <w:tcW w:w="1000"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3.3%</w:t>
            </w:r>
          </w:p>
        </w:tc>
        <w:tc>
          <w:tcPr>
            <w:tcW w:w="1000"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9.4%</w:t>
            </w:r>
          </w:p>
        </w:tc>
        <w:tc>
          <w:tcPr>
            <w:tcW w:w="1000"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9.1%</w:t>
            </w:r>
          </w:p>
        </w:tc>
      </w:tr>
    </w:tbl>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p>
    <w:p>
      <w:pPr>
        <w:rPr>
          <w:rFonts w:hint="eastAsia" w:ascii="宋体" w:hAnsi="宋体" w:eastAsia="宋体" w:cs="宋体"/>
          <w:color w:val="000000"/>
          <w:sz w:val="24"/>
          <w:szCs w:val="32"/>
        </w:rPr>
      </w:pPr>
      <w:r>
        <w:rPr>
          <w:rFonts w:hint="eastAsia" w:ascii="宋体" w:hAnsi="宋体" w:eastAsia="宋体" w:cs="宋体"/>
          <w:color w:val="000000"/>
          <w:sz w:val="24"/>
          <w:szCs w:val="32"/>
        </w:rPr>
        <w:br w:type="page"/>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color w:val="000000"/>
          <w:sz w:val="44"/>
          <w:szCs w:val="44"/>
        </w:rPr>
      </w:pPr>
      <w:r>
        <w:rPr>
          <w:rFonts w:hint="eastAsia" w:ascii="宋体" w:hAnsi="宋体" w:eastAsia="宋体" w:cs="宋体"/>
          <w:color w:val="000000"/>
          <w:sz w:val="44"/>
          <w:szCs w:val="44"/>
        </w:rPr>
        <w:t>第三章</w:t>
      </w:r>
      <w:r>
        <w:rPr>
          <w:rFonts w:hint="eastAsia" w:ascii="宋体" w:hAnsi="宋体" w:eastAsia="宋体" w:cs="宋体"/>
          <w:color w:val="000000"/>
          <w:sz w:val="44"/>
          <w:szCs w:val="44"/>
          <w:lang w:val="en-US" w:eastAsia="zh-CN"/>
        </w:rPr>
        <w:t xml:space="preserve">  </w:t>
      </w:r>
      <w:r>
        <w:rPr>
          <w:rFonts w:hint="eastAsia" w:ascii="宋体" w:hAnsi="宋体" w:eastAsia="宋体" w:cs="宋体"/>
          <w:color w:val="000000"/>
          <w:sz w:val="44"/>
          <w:szCs w:val="44"/>
        </w:rPr>
        <w:t>发展思路及目标</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第一节 指导思想</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以习近平新时代中国特色社会主义思想为指导，全面贯彻党的十九大、二十大和十九届二中、三中、四中、五中全会精神，深入贯彻习近平总书记在广东考察时的重要讲话和重要指示精神，统筹推进“五位一体”总体布局，协调推进“四个全面”战略布局，坚持以人民为中心，坚持新发展理念，坚持稳中求进工作总基调。以深化供给侧结构性改革为主线，以加快构建现代综合交通运输体系为核心，紧紧围绕交通强国建设总体要求，统筹各种交通方式发展，完善交通基础设施布局，提升运输服务和行业治理水平，为海丰建设“双区”产业转移重要承接地、拓展区，奋进全国“百强县”，建设沿海经济带靓丽明珠排头兵贡献交通力量。</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第二节 发展原则</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1.强化服务支撑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紧紧围绕党中央、国务院和省委、省政府重大决策部署，适度超前规划建设，服务“一带一路”、粤港澳大湾区建设等重大战略落地实施，建设人民满意交通，更好发挥交通运输的先行引领和支撑保障作用，服务海丰县高质量发展。</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2.突出融合发展</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强化各种运输方式间、城市间及城乡间交通运输综合化、一体化发展。推进交通运输与空间布局、文化旅游、商贸流通等融合发展。坚持开放发展，推进海丰与周边城市的基础设施互联互通和一体化发展。</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3.注重提质增效</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对标高质量发展要求，着力提高综合交通网络效率、降低物流成本，注重做优增量、挖潜存量，推动海丰县交通运输发展实现从高投入、高速度向高质量、高效益转变。</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4.坚持安全绿色</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提升交通基础设施网络的安全性和可靠性，提高应对自然灾害、突发事件保障能力。深入贯彻生态文明理念，把节能减排、保护环境和集约利用资源落实到交通运输各个环节，建设绿色循环低碳交通运输体系，促进交通运输发展与自然和谐共生。</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5.深化科技创新</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坚持把创新作为引领发展的第一动力，推动交通发展由依靠传统的要素驱动向更加注重创新驱动转变，强化科技创新赋能，加速交通基础设施网、运输服务网与信息网络融合发展，提升海丰县交通运输行业整体的数字化、智能化水平。</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第三节 发展目标</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1.总体目标</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到2025年，基本建成“内畅外联、服务可靠、绿色智能、安全高效”的现代综合交通运输体系。交通基础设施衔接高效、能力充分、结构合理；城乡客运一体化水平、物流组织集约化水平进一步提高；交通应急保障能力和绿色交通、智慧交通支撑能力显著提升；行业治理能力和行政执法水平明显改善。打造辐射粤东地区的物流枢纽中心，全力支撑海丰建设成为“全国百强县”、“双区”产业转移重要承接地、拓展区和沿海经济带靓丽明珠排头兵。</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2.具体目标</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铁路：</w:t>
      </w:r>
      <w:r>
        <w:rPr>
          <w:rFonts w:hint="eastAsia" w:ascii="宋体" w:hAnsi="宋体" w:eastAsia="宋体" w:cs="宋体"/>
          <w:color w:val="000000"/>
          <w:sz w:val="24"/>
          <w:szCs w:val="32"/>
        </w:rPr>
        <w:t>配合推进广汕高铁、汕汕高铁等高铁建设；配合推进汕梅高铁、龙汕铁路前期工作，远期争取在龙汕铁路与汕梅高铁交汇处设置枢纽站点。“十四五”末县域铁路总里程达到54公里，铁路密度达到4.1公里/百平方公里。</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公路：</w:t>
      </w:r>
      <w:r>
        <w:rPr>
          <w:rFonts w:hint="eastAsia" w:ascii="宋体" w:hAnsi="宋体" w:eastAsia="宋体" w:cs="宋体"/>
          <w:color w:val="000000"/>
          <w:sz w:val="24"/>
          <w:szCs w:val="32"/>
        </w:rPr>
        <w:t>构建互联互通“高速公路快速网”，形成“五横三纵”高快速路网布局，“十四五”末高速公路总里程达到100公里；构建高质高效“国省道干线网”，推进国、省道主干线优化改造，加快海丰县域内国道一级公路建设，计划新改建国省干线140公里，普通国道一级及以上占比达到60%，二级及以上占比达到100%，普通省道三级及以上占比达到90%；构建覆盖广泛“农村公路基础网”，加快推进通建制村道路“单改双”等农村公路提档升级改造，改善农村公路与国省道主干道的连接，稳步扩大农村公路网络覆盖程度，农村公路里程突破1500公里，建制村通硬化路率达到100%。公路网密度达到128公里/百平方公里。</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港航：</w:t>
      </w:r>
      <w:r>
        <w:rPr>
          <w:rFonts w:hint="eastAsia" w:ascii="宋体" w:hAnsi="宋体" w:eastAsia="宋体" w:cs="宋体"/>
          <w:color w:val="000000"/>
          <w:sz w:val="24"/>
          <w:szCs w:val="32"/>
        </w:rPr>
        <w:t>配合推进海丰港区建设，完善连接港区交通基础设施。</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航空：</w:t>
      </w:r>
      <w:r>
        <w:rPr>
          <w:rFonts w:hint="eastAsia" w:ascii="宋体" w:hAnsi="宋体" w:eastAsia="宋体" w:cs="宋体"/>
          <w:color w:val="000000"/>
          <w:sz w:val="24"/>
          <w:szCs w:val="32"/>
        </w:rPr>
        <w:t>根据上位规划，配合落实汕尾机场布局选址。</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公共交通：</w:t>
      </w:r>
      <w:r>
        <w:rPr>
          <w:rFonts w:hint="eastAsia" w:ascii="宋体" w:hAnsi="宋体" w:eastAsia="宋体" w:cs="宋体"/>
          <w:color w:val="000000"/>
          <w:sz w:val="24"/>
          <w:szCs w:val="32"/>
        </w:rPr>
        <w:t>构建“1+6+N</w:t>
      </w:r>
      <w:r>
        <w:rPr>
          <w:rFonts w:hint="eastAsia" w:ascii="宋体" w:hAnsi="宋体" w:eastAsia="宋体" w:cs="宋体"/>
          <w:color w:val="000000"/>
          <w:sz w:val="24"/>
          <w:szCs w:val="32"/>
        </w:rPr>
        <w:tab/>
      </w:r>
      <w:r>
        <w:rPr>
          <w:rFonts w:hint="eastAsia" w:ascii="宋体" w:hAnsi="宋体" w:eastAsia="宋体" w:cs="宋体"/>
          <w:color w:val="000000"/>
          <w:sz w:val="24"/>
          <w:szCs w:val="32"/>
        </w:rPr>
        <w:t>”</w:t>
      </w:r>
      <w:r>
        <w:rPr>
          <w:rFonts w:hint="eastAsia" w:ascii="宋体" w:hAnsi="宋体" w:eastAsia="宋体" w:cs="宋体"/>
          <w:color w:val="000000"/>
          <w:sz w:val="24"/>
          <w:szCs w:val="32"/>
        </w:rPr>
        <w:tab/>
      </w:r>
      <w:r>
        <w:rPr>
          <w:rFonts w:hint="eastAsia" w:ascii="宋体" w:hAnsi="宋体" w:eastAsia="宋体" w:cs="宋体"/>
          <w:color w:val="000000"/>
          <w:sz w:val="24"/>
          <w:szCs w:val="32"/>
        </w:rPr>
        <w:t>县域公交网体系，“1”为一个县城中心全覆盖，“6”为六条延长线辐射重点镇，“N”为N条线路兼顾其他镇；升级站点设施，设置站点207个，其中普通站点137个，换乘站点70个。</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近期形成11条线路为主的城镇公交线网，线路总里程128公里，覆盖道路里程88公里，县城中心300米公交覆盖率86%，500米公交覆盖率100%。</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物流运输：</w:t>
      </w:r>
      <w:r>
        <w:rPr>
          <w:rFonts w:hint="eastAsia" w:ascii="宋体" w:hAnsi="宋体" w:eastAsia="宋体" w:cs="宋体"/>
          <w:color w:val="000000"/>
          <w:sz w:val="24"/>
          <w:szCs w:val="32"/>
        </w:rPr>
        <w:t>打造“1+1+2”物流运输体系，即1个物流基地，1个物流中心，2个配送中心。城乡物流一体化服务不断完善，城市配送、农村物流更加高效有序，县、镇、村三级物流服务站点覆盖率达到100%。</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表5</w:t>
      </w:r>
      <w:r>
        <w:rPr>
          <w:rFonts w:hint="eastAsia" w:ascii="宋体" w:hAnsi="宋体" w:eastAsia="宋体" w:cs="宋体"/>
          <w:b/>
          <w:bCs/>
          <w:color w:val="000000"/>
          <w:sz w:val="21"/>
          <w:szCs w:val="21"/>
          <w:lang w:val="en-US" w:eastAsia="zh-CN"/>
        </w:rPr>
        <w:t xml:space="preserve">  </w:t>
      </w:r>
      <w:r>
        <w:rPr>
          <w:rFonts w:hint="eastAsia" w:ascii="宋体" w:hAnsi="宋体" w:eastAsia="宋体" w:cs="宋体"/>
          <w:b/>
          <w:bCs/>
          <w:color w:val="000000"/>
          <w:sz w:val="21"/>
          <w:szCs w:val="21"/>
        </w:rPr>
        <w:t>海丰县“十四五”综合交通运输体系发展目标一览表</w:t>
      </w:r>
    </w:p>
    <w:tbl>
      <w:tblPr>
        <w:tblStyle w:val="5"/>
        <w:tblW w:w="850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78"/>
        <w:gridCol w:w="1278"/>
        <w:gridCol w:w="1773"/>
        <w:gridCol w:w="177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2" w:type="pct"/>
            <w:vMerge w:val="restart"/>
            <w:shd w:val="clear" w:color="000000" w:fill="D9D9D9"/>
            <w:vAlign w:val="center"/>
          </w:tcPr>
          <w:p>
            <w:pPr>
              <w:pStyle w:val="9"/>
              <w:keepNext w:val="0"/>
              <w:keepLines w:val="0"/>
              <w:pageBreakBefore w:val="0"/>
              <w:widowControl w:val="0"/>
              <w:tabs>
                <w:tab w:val="right" w:leader="dot" w:pos="9060"/>
              </w:tabs>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主要指标</w:t>
            </w:r>
          </w:p>
        </w:tc>
        <w:tc>
          <w:tcPr>
            <w:tcW w:w="751" w:type="pct"/>
            <w:vMerge w:val="restart"/>
            <w:shd w:val="clear" w:color="000000" w:fill="D9D9D9"/>
            <w:vAlign w:val="center"/>
          </w:tcPr>
          <w:p>
            <w:pPr>
              <w:pStyle w:val="9"/>
              <w:keepNext w:val="0"/>
              <w:keepLines w:val="0"/>
              <w:pageBreakBefore w:val="0"/>
              <w:widowControl w:val="0"/>
              <w:tabs>
                <w:tab w:val="right" w:leader="dot" w:pos="9060"/>
              </w:tabs>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单位</w:t>
            </w:r>
          </w:p>
        </w:tc>
        <w:tc>
          <w:tcPr>
            <w:tcW w:w="1042" w:type="pct"/>
            <w:vMerge w:val="restart"/>
            <w:shd w:val="clear" w:color="000000" w:fill="D9D9D9"/>
            <w:vAlign w:val="center"/>
          </w:tcPr>
          <w:p>
            <w:pPr>
              <w:pStyle w:val="9"/>
              <w:keepNext w:val="0"/>
              <w:keepLines w:val="0"/>
              <w:pageBreakBefore w:val="0"/>
              <w:widowControl w:val="0"/>
              <w:tabs>
                <w:tab w:val="right" w:leader="dot" w:pos="9060"/>
              </w:tabs>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2020年</w:t>
            </w:r>
          </w:p>
        </w:tc>
        <w:tc>
          <w:tcPr>
            <w:tcW w:w="1043" w:type="pct"/>
            <w:vMerge w:val="restart"/>
            <w:shd w:val="clear" w:color="000000" w:fill="D9D9D9"/>
            <w:vAlign w:val="center"/>
          </w:tcPr>
          <w:p>
            <w:pPr>
              <w:pStyle w:val="9"/>
              <w:keepNext w:val="0"/>
              <w:keepLines w:val="0"/>
              <w:pageBreakBefore w:val="0"/>
              <w:widowControl w:val="0"/>
              <w:tabs>
                <w:tab w:val="right" w:leader="dot" w:pos="9060"/>
              </w:tabs>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2025年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2" w:type="pct"/>
            <w:vMerge w:val="continue"/>
            <w:vAlign w:val="center"/>
          </w:tcPr>
          <w:p>
            <w:pPr>
              <w:pStyle w:val="9"/>
              <w:tabs>
                <w:tab w:val="right" w:leader="dot" w:pos="9060"/>
              </w:tabs>
              <w:spacing w:line="240" w:lineRule="auto"/>
              <w:ind w:firstLine="0" w:firstLineChars="0"/>
              <w:jc w:val="center"/>
              <w:rPr>
                <w:rFonts w:hint="eastAsia" w:ascii="宋体" w:hAnsi="宋体" w:eastAsia="宋体" w:cs="宋体"/>
                <w:b/>
                <w:color w:val="auto"/>
                <w:sz w:val="21"/>
                <w:szCs w:val="21"/>
              </w:rPr>
            </w:pPr>
          </w:p>
        </w:tc>
        <w:tc>
          <w:tcPr>
            <w:tcW w:w="751" w:type="pct"/>
            <w:vMerge w:val="continue"/>
            <w:vAlign w:val="center"/>
          </w:tcPr>
          <w:p>
            <w:pPr>
              <w:pStyle w:val="9"/>
              <w:tabs>
                <w:tab w:val="right" w:leader="dot" w:pos="9060"/>
              </w:tabs>
              <w:spacing w:line="240" w:lineRule="auto"/>
              <w:ind w:firstLine="0" w:firstLineChars="0"/>
              <w:jc w:val="center"/>
              <w:rPr>
                <w:rFonts w:hint="eastAsia" w:ascii="宋体" w:hAnsi="宋体" w:eastAsia="宋体" w:cs="宋体"/>
                <w:b/>
                <w:color w:val="auto"/>
                <w:sz w:val="21"/>
                <w:szCs w:val="21"/>
              </w:rPr>
            </w:pPr>
          </w:p>
        </w:tc>
        <w:tc>
          <w:tcPr>
            <w:tcW w:w="1042" w:type="pct"/>
            <w:vMerge w:val="continue"/>
            <w:vAlign w:val="center"/>
          </w:tcPr>
          <w:p>
            <w:pPr>
              <w:pStyle w:val="9"/>
              <w:tabs>
                <w:tab w:val="right" w:leader="dot" w:pos="9060"/>
              </w:tabs>
              <w:spacing w:line="240" w:lineRule="auto"/>
              <w:ind w:firstLine="0" w:firstLineChars="0"/>
              <w:jc w:val="center"/>
              <w:rPr>
                <w:rFonts w:hint="eastAsia" w:ascii="宋体" w:hAnsi="宋体" w:eastAsia="宋体" w:cs="宋体"/>
                <w:b/>
                <w:color w:val="auto"/>
                <w:sz w:val="21"/>
                <w:szCs w:val="21"/>
              </w:rPr>
            </w:pPr>
          </w:p>
        </w:tc>
        <w:tc>
          <w:tcPr>
            <w:tcW w:w="1043" w:type="pct"/>
            <w:vMerge w:val="continue"/>
            <w:shd w:val="clear" w:color="000000" w:fill="D9D9D9"/>
            <w:vAlign w:val="center"/>
          </w:tcPr>
          <w:p>
            <w:pPr>
              <w:pStyle w:val="9"/>
              <w:tabs>
                <w:tab w:val="right" w:leader="dot" w:pos="9060"/>
              </w:tabs>
              <w:spacing w:line="240" w:lineRule="auto"/>
              <w:ind w:firstLine="0" w:firstLineChars="0"/>
              <w:jc w:val="center"/>
              <w:rPr>
                <w:rFonts w:hint="eastAsia" w:ascii="宋体" w:hAnsi="宋体" w:eastAsia="宋体" w:cs="宋体"/>
                <w:b/>
                <w:color w:val="auto"/>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62" w:type="pct"/>
            <w:vMerge w:val="continue"/>
            <w:vAlign w:val="center"/>
          </w:tcPr>
          <w:p>
            <w:pPr>
              <w:pStyle w:val="9"/>
              <w:tabs>
                <w:tab w:val="right" w:leader="dot" w:pos="9060"/>
              </w:tabs>
              <w:spacing w:line="240" w:lineRule="auto"/>
              <w:ind w:firstLine="0" w:firstLineChars="0"/>
              <w:jc w:val="center"/>
              <w:rPr>
                <w:rFonts w:hint="eastAsia" w:ascii="宋体" w:hAnsi="宋体" w:eastAsia="宋体" w:cs="宋体"/>
                <w:color w:val="auto"/>
                <w:sz w:val="21"/>
                <w:szCs w:val="21"/>
              </w:rPr>
            </w:pPr>
          </w:p>
        </w:tc>
        <w:tc>
          <w:tcPr>
            <w:tcW w:w="751" w:type="pct"/>
            <w:vMerge w:val="continue"/>
            <w:vAlign w:val="center"/>
          </w:tcPr>
          <w:p>
            <w:pPr>
              <w:pStyle w:val="9"/>
              <w:tabs>
                <w:tab w:val="right" w:leader="dot" w:pos="9060"/>
              </w:tabs>
              <w:spacing w:line="240" w:lineRule="auto"/>
              <w:ind w:firstLine="0" w:firstLineChars="0"/>
              <w:jc w:val="center"/>
              <w:rPr>
                <w:rFonts w:hint="eastAsia" w:ascii="宋体" w:hAnsi="宋体" w:eastAsia="宋体" w:cs="宋体"/>
                <w:color w:val="auto"/>
                <w:sz w:val="21"/>
                <w:szCs w:val="21"/>
              </w:rPr>
            </w:pPr>
          </w:p>
        </w:tc>
        <w:tc>
          <w:tcPr>
            <w:tcW w:w="1042" w:type="pct"/>
            <w:vMerge w:val="continue"/>
            <w:vAlign w:val="center"/>
          </w:tcPr>
          <w:p>
            <w:pPr>
              <w:pStyle w:val="9"/>
              <w:tabs>
                <w:tab w:val="right" w:leader="dot" w:pos="9060"/>
              </w:tabs>
              <w:spacing w:line="240" w:lineRule="auto"/>
              <w:ind w:firstLine="0" w:firstLineChars="0"/>
              <w:jc w:val="center"/>
              <w:rPr>
                <w:rFonts w:hint="eastAsia" w:ascii="宋体" w:hAnsi="宋体" w:eastAsia="宋体" w:cs="宋体"/>
                <w:color w:val="auto"/>
                <w:sz w:val="21"/>
                <w:szCs w:val="21"/>
              </w:rPr>
            </w:pPr>
          </w:p>
        </w:tc>
        <w:tc>
          <w:tcPr>
            <w:tcW w:w="1043" w:type="pct"/>
            <w:vMerge w:val="continue"/>
            <w:shd w:val="clear" w:color="000000" w:fill="D9D9D9"/>
            <w:vAlign w:val="center"/>
          </w:tcPr>
          <w:p>
            <w:pPr>
              <w:pStyle w:val="9"/>
              <w:tabs>
                <w:tab w:val="right" w:leader="dot" w:pos="9060"/>
              </w:tabs>
              <w:spacing w:line="240" w:lineRule="auto"/>
              <w:ind w:firstLine="0" w:firstLineChars="0"/>
              <w:jc w:val="center"/>
              <w:rPr>
                <w:rFonts w:hint="eastAsia" w:ascii="宋体" w:hAnsi="宋体" w:eastAsia="宋体" w:cs="宋体"/>
                <w:b/>
                <w:color w:val="auto"/>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2" w:type="pct"/>
            <w:shd w:val="clear" w:color="auto" w:fill="auto"/>
            <w:vAlign w:val="center"/>
          </w:tcPr>
          <w:p>
            <w:pPr>
              <w:pStyle w:val="9"/>
              <w:tabs>
                <w:tab w:val="right" w:leader="dot" w:pos="9060"/>
              </w:tabs>
              <w:spacing w:line="240" w:lineRule="auto"/>
              <w:ind w:firstLine="0" w:firstLineChars="0"/>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铁路运营里程</w:t>
            </w:r>
          </w:p>
        </w:tc>
        <w:tc>
          <w:tcPr>
            <w:tcW w:w="751"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公里</w:t>
            </w:r>
          </w:p>
        </w:tc>
        <w:tc>
          <w:tcPr>
            <w:tcW w:w="1042"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22</w:t>
            </w:r>
          </w:p>
        </w:tc>
        <w:tc>
          <w:tcPr>
            <w:tcW w:w="1043" w:type="pct"/>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54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2" w:type="pct"/>
            <w:shd w:val="clear" w:color="auto" w:fill="auto"/>
            <w:vAlign w:val="center"/>
          </w:tcPr>
          <w:p>
            <w:pPr>
              <w:pStyle w:val="9"/>
              <w:tabs>
                <w:tab w:val="right" w:leader="dot" w:pos="9060"/>
              </w:tabs>
              <w:spacing w:line="240" w:lineRule="auto"/>
              <w:ind w:firstLine="210" w:firstLineChars="100"/>
              <w:jc w:val="left"/>
              <w:rPr>
                <w:rFonts w:hint="eastAsia" w:ascii="宋体" w:hAnsi="宋体" w:eastAsia="宋体" w:cs="宋体"/>
                <w:color w:val="auto"/>
                <w:sz w:val="21"/>
                <w:szCs w:val="21"/>
              </w:rPr>
            </w:pPr>
            <w:r>
              <w:rPr>
                <w:rFonts w:hint="eastAsia" w:ascii="宋体" w:hAnsi="宋体" w:eastAsia="宋体" w:cs="宋体"/>
                <w:color w:val="auto"/>
                <w:sz w:val="21"/>
                <w:szCs w:val="21"/>
              </w:rPr>
              <w:t>其中：高速铁路运营里程</w:t>
            </w:r>
          </w:p>
        </w:tc>
        <w:tc>
          <w:tcPr>
            <w:tcW w:w="751"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公里</w:t>
            </w:r>
          </w:p>
        </w:tc>
        <w:tc>
          <w:tcPr>
            <w:tcW w:w="1042"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0</w:t>
            </w:r>
          </w:p>
        </w:tc>
        <w:tc>
          <w:tcPr>
            <w:tcW w:w="1043" w:type="pct"/>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32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2" w:type="pct"/>
            <w:shd w:val="clear" w:color="auto" w:fill="auto"/>
            <w:vAlign w:val="center"/>
          </w:tcPr>
          <w:p>
            <w:pPr>
              <w:pStyle w:val="9"/>
              <w:tabs>
                <w:tab w:val="right" w:leader="dot" w:pos="9060"/>
              </w:tabs>
              <w:spacing w:line="240" w:lineRule="auto"/>
              <w:ind w:firstLine="0" w:firstLineChars="0"/>
              <w:jc w:val="left"/>
              <w:rPr>
                <w:rFonts w:hint="eastAsia" w:ascii="宋体" w:hAnsi="宋体" w:eastAsia="宋体" w:cs="宋体"/>
                <w:color w:val="auto"/>
                <w:sz w:val="21"/>
                <w:szCs w:val="21"/>
              </w:rPr>
            </w:pPr>
            <w:r>
              <w:rPr>
                <w:rFonts w:hint="eastAsia" w:ascii="宋体" w:hAnsi="宋体" w:eastAsia="宋体" w:cs="宋体"/>
                <w:b/>
                <w:bCs/>
                <w:color w:val="auto"/>
                <w:sz w:val="21"/>
                <w:szCs w:val="21"/>
              </w:rPr>
              <w:t>铁路网密度</w:t>
            </w:r>
          </w:p>
        </w:tc>
        <w:tc>
          <w:tcPr>
            <w:tcW w:w="751"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公里/百平方公里</w:t>
            </w:r>
          </w:p>
        </w:tc>
        <w:tc>
          <w:tcPr>
            <w:tcW w:w="1042"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1.7</w:t>
            </w:r>
          </w:p>
        </w:tc>
        <w:tc>
          <w:tcPr>
            <w:tcW w:w="1043" w:type="pct"/>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4.1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2" w:type="pct"/>
            <w:shd w:val="clear" w:color="auto" w:fill="auto"/>
            <w:vAlign w:val="center"/>
          </w:tcPr>
          <w:p>
            <w:pPr>
              <w:pStyle w:val="9"/>
              <w:tabs>
                <w:tab w:val="right" w:leader="dot" w:pos="9060"/>
              </w:tabs>
              <w:spacing w:line="240" w:lineRule="auto"/>
              <w:ind w:firstLine="0" w:firstLineChars="0"/>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公路通车里程</w:t>
            </w:r>
          </w:p>
        </w:tc>
        <w:tc>
          <w:tcPr>
            <w:tcW w:w="751"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公里</w:t>
            </w:r>
          </w:p>
        </w:tc>
        <w:tc>
          <w:tcPr>
            <w:tcW w:w="1042"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1586</w:t>
            </w:r>
          </w:p>
        </w:tc>
        <w:tc>
          <w:tcPr>
            <w:tcW w:w="1043" w:type="pct"/>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1686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2" w:type="pct"/>
            <w:shd w:val="clear" w:color="auto" w:fill="auto"/>
            <w:vAlign w:val="center"/>
          </w:tcPr>
          <w:p>
            <w:pPr>
              <w:pStyle w:val="9"/>
              <w:tabs>
                <w:tab w:val="right" w:leader="dot" w:pos="9060"/>
              </w:tabs>
              <w:spacing w:line="240" w:lineRule="auto"/>
              <w:ind w:firstLine="210" w:firstLineChars="100"/>
              <w:jc w:val="left"/>
              <w:rPr>
                <w:rFonts w:hint="eastAsia" w:ascii="宋体" w:hAnsi="宋体" w:eastAsia="宋体" w:cs="宋体"/>
                <w:color w:val="auto"/>
                <w:sz w:val="21"/>
                <w:szCs w:val="21"/>
              </w:rPr>
            </w:pPr>
            <w:r>
              <w:rPr>
                <w:rFonts w:hint="eastAsia" w:ascii="宋体" w:hAnsi="宋体" w:eastAsia="宋体" w:cs="宋体"/>
                <w:color w:val="auto"/>
                <w:sz w:val="21"/>
                <w:szCs w:val="21"/>
              </w:rPr>
              <w:t>其中：高速公路通车里程</w:t>
            </w:r>
          </w:p>
        </w:tc>
        <w:tc>
          <w:tcPr>
            <w:tcW w:w="751"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公里</w:t>
            </w:r>
          </w:p>
        </w:tc>
        <w:tc>
          <w:tcPr>
            <w:tcW w:w="1042"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82</w:t>
            </w:r>
          </w:p>
        </w:tc>
        <w:tc>
          <w:tcPr>
            <w:tcW w:w="1043" w:type="pct"/>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2" w:type="pct"/>
            <w:shd w:val="clear" w:color="auto" w:fill="auto"/>
            <w:vAlign w:val="center"/>
          </w:tcPr>
          <w:p>
            <w:pPr>
              <w:pStyle w:val="9"/>
              <w:tabs>
                <w:tab w:val="right" w:leader="dot" w:pos="9060"/>
              </w:tabs>
              <w:spacing w:line="240" w:lineRule="auto"/>
              <w:ind w:firstLine="0" w:firstLineChars="0"/>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公路网密度</w:t>
            </w:r>
          </w:p>
        </w:tc>
        <w:tc>
          <w:tcPr>
            <w:tcW w:w="751"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公里/百平方公里</w:t>
            </w:r>
          </w:p>
        </w:tc>
        <w:tc>
          <w:tcPr>
            <w:tcW w:w="1042"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120.5</w:t>
            </w:r>
          </w:p>
        </w:tc>
        <w:tc>
          <w:tcPr>
            <w:tcW w:w="1043" w:type="pct"/>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128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2" w:type="pct"/>
            <w:shd w:val="clear" w:color="auto" w:fill="auto"/>
            <w:vAlign w:val="center"/>
          </w:tcPr>
          <w:p>
            <w:pPr>
              <w:pStyle w:val="9"/>
              <w:tabs>
                <w:tab w:val="right" w:leader="dot" w:pos="9060"/>
              </w:tabs>
              <w:spacing w:line="240" w:lineRule="auto"/>
              <w:ind w:firstLine="0" w:firstLineChars="0"/>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普通国道一级及以上比例</w:t>
            </w:r>
          </w:p>
        </w:tc>
        <w:tc>
          <w:tcPr>
            <w:tcW w:w="751"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042"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56</w:t>
            </w:r>
          </w:p>
        </w:tc>
        <w:tc>
          <w:tcPr>
            <w:tcW w:w="1043" w:type="pct"/>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60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2" w:type="pct"/>
            <w:shd w:val="clear" w:color="auto" w:fill="auto"/>
            <w:vAlign w:val="center"/>
          </w:tcPr>
          <w:p>
            <w:pPr>
              <w:pStyle w:val="9"/>
              <w:tabs>
                <w:tab w:val="right" w:leader="dot" w:pos="9060"/>
              </w:tabs>
              <w:spacing w:line="240" w:lineRule="auto"/>
              <w:ind w:firstLine="0" w:firstLineChars="0"/>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普通国道二级及以上比例</w:t>
            </w:r>
          </w:p>
        </w:tc>
        <w:tc>
          <w:tcPr>
            <w:tcW w:w="751"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042"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90</w:t>
            </w:r>
          </w:p>
        </w:tc>
        <w:tc>
          <w:tcPr>
            <w:tcW w:w="1043" w:type="pct"/>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2" w:type="pct"/>
            <w:shd w:val="clear" w:color="auto" w:fill="auto"/>
            <w:vAlign w:val="center"/>
          </w:tcPr>
          <w:p>
            <w:pPr>
              <w:pStyle w:val="9"/>
              <w:tabs>
                <w:tab w:val="right" w:leader="dot" w:pos="9060"/>
              </w:tabs>
              <w:spacing w:line="240" w:lineRule="auto"/>
              <w:ind w:firstLine="0" w:firstLineChars="0"/>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普通省道三级及以上比例</w:t>
            </w:r>
          </w:p>
        </w:tc>
        <w:tc>
          <w:tcPr>
            <w:tcW w:w="751"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042"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77</w:t>
            </w:r>
          </w:p>
        </w:tc>
        <w:tc>
          <w:tcPr>
            <w:tcW w:w="1043" w:type="pct"/>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90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2" w:type="pct"/>
            <w:shd w:val="clear" w:color="auto" w:fill="auto"/>
            <w:vAlign w:val="center"/>
          </w:tcPr>
          <w:p>
            <w:pPr>
              <w:pStyle w:val="9"/>
              <w:tabs>
                <w:tab w:val="right" w:leader="dot" w:pos="9060"/>
              </w:tabs>
              <w:spacing w:line="240" w:lineRule="auto"/>
              <w:ind w:firstLine="0" w:firstLineChars="0"/>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建制村通客车比例</w:t>
            </w:r>
          </w:p>
        </w:tc>
        <w:tc>
          <w:tcPr>
            <w:tcW w:w="751"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1042"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100</w:t>
            </w:r>
          </w:p>
        </w:tc>
        <w:tc>
          <w:tcPr>
            <w:tcW w:w="1043" w:type="pct"/>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2" w:type="pct"/>
            <w:shd w:val="clear" w:color="auto" w:fill="auto"/>
            <w:vAlign w:val="center"/>
          </w:tcPr>
          <w:p>
            <w:pPr>
              <w:pStyle w:val="9"/>
              <w:tabs>
                <w:tab w:val="right" w:leader="dot" w:pos="9060"/>
              </w:tabs>
              <w:spacing w:line="240" w:lineRule="auto"/>
              <w:ind w:firstLine="0" w:firstLineChars="0"/>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县、镇、村物流网点覆盖率</w:t>
            </w:r>
          </w:p>
        </w:tc>
        <w:tc>
          <w:tcPr>
            <w:tcW w:w="751"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sz w:val="21"/>
                <w:szCs w:val="21"/>
              </w:rPr>
              <w:t>%</w:t>
            </w:r>
          </w:p>
        </w:tc>
        <w:tc>
          <w:tcPr>
            <w:tcW w:w="1042"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100、100、80</w:t>
            </w:r>
          </w:p>
        </w:tc>
        <w:tc>
          <w:tcPr>
            <w:tcW w:w="1043" w:type="pct"/>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100、100、100</w:t>
            </w:r>
          </w:p>
        </w:tc>
      </w:tr>
    </w:tbl>
    <w:p>
      <w:pPr>
        <w:rPr>
          <w:rFonts w:hint="eastAsia" w:ascii="宋体" w:hAnsi="宋体" w:eastAsia="宋体" w:cs="宋体"/>
          <w:color w:val="000000"/>
          <w:sz w:val="24"/>
          <w:szCs w:val="32"/>
        </w:rPr>
      </w:pPr>
      <w:r>
        <w:rPr>
          <w:rFonts w:hint="eastAsia" w:ascii="宋体" w:hAnsi="宋体" w:eastAsia="宋体" w:cs="宋体"/>
          <w:color w:val="000000"/>
          <w:sz w:val="24"/>
          <w:szCs w:val="32"/>
        </w:rPr>
        <w:br w:type="page"/>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color w:val="000000"/>
          <w:sz w:val="44"/>
          <w:szCs w:val="44"/>
        </w:rPr>
      </w:pPr>
      <w:r>
        <w:rPr>
          <w:rFonts w:hint="eastAsia" w:ascii="宋体" w:hAnsi="宋体" w:eastAsia="宋体" w:cs="宋体"/>
          <w:color w:val="000000"/>
          <w:sz w:val="44"/>
          <w:szCs w:val="44"/>
        </w:rPr>
        <w:t>第四章</w:t>
      </w:r>
      <w:r>
        <w:rPr>
          <w:rFonts w:hint="eastAsia" w:ascii="宋体" w:hAnsi="宋体" w:eastAsia="宋体" w:cs="宋体"/>
          <w:color w:val="000000"/>
          <w:sz w:val="44"/>
          <w:szCs w:val="44"/>
          <w:lang w:val="en-US" w:eastAsia="zh-CN"/>
        </w:rPr>
        <w:t xml:space="preserve">  </w:t>
      </w:r>
      <w:r>
        <w:rPr>
          <w:rFonts w:hint="eastAsia" w:ascii="宋体" w:hAnsi="宋体" w:eastAsia="宋体" w:cs="宋体"/>
          <w:color w:val="000000"/>
          <w:sz w:val="44"/>
          <w:szCs w:val="44"/>
        </w:rPr>
        <w:t>建设高质量基础设施体系</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第一节</w:t>
      </w:r>
      <w:r>
        <w:rPr>
          <w:rFonts w:hint="eastAsia" w:ascii="宋体" w:hAnsi="宋体" w:eastAsia="宋体" w:cs="宋体"/>
          <w:color w:val="000000"/>
          <w:sz w:val="28"/>
          <w:szCs w:val="28"/>
          <w:lang w:val="en-US" w:eastAsia="zh-CN"/>
        </w:rPr>
        <w:t xml:space="preserve">  </w:t>
      </w:r>
      <w:r>
        <w:rPr>
          <w:rFonts w:hint="eastAsia" w:ascii="宋体" w:hAnsi="宋体" w:eastAsia="宋体" w:cs="宋体"/>
          <w:color w:val="000000"/>
          <w:sz w:val="28"/>
          <w:szCs w:val="28"/>
        </w:rPr>
        <w:t>建设高效互联的综合交通网络</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1.轨道建设</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完善区域铁路网布局。</w:t>
      </w:r>
      <w:r>
        <w:rPr>
          <w:rFonts w:hint="eastAsia" w:ascii="宋体" w:hAnsi="宋体" w:eastAsia="宋体" w:cs="宋体"/>
          <w:color w:val="000000"/>
          <w:sz w:val="24"/>
          <w:szCs w:val="32"/>
        </w:rPr>
        <w:t>“十四五”期间，积极推进广州至汕尾铁路、汕头至汕尾铁路建设，配合推进龙川至汕尾铁路、汕尾至梅州铁路、深汕城际东延线前期工作，助力完善区域高速铁路网布局。远期争取在龙汕铁路与汕梅高铁交汇处设置枢纽站点，全面提升海丰县客货运输能力，聚合城市客货资源，进一步缩短海丰与粤港澳大湾区、潮汕揭都市圈核心城市的时空距离，推动海丰高质量融入“双区”。到2025年，全县新增高速铁路里程32公里，铁路总里程达到54公里。</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4"/>
          <w:szCs w:val="32"/>
        </w:rPr>
      </w:pPr>
      <w:r>
        <w:rPr>
          <w:rFonts w:hint="eastAsia" w:ascii="宋体" w:hAnsi="宋体" w:eastAsia="宋体" w:cs="宋体"/>
          <w:b/>
          <w:bCs/>
        </w:rPr>
        <w:drawing>
          <wp:inline distT="0" distB="0" distL="0" distR="0">
            <wp:extent cx="5400040" cy="3856990"/>
            <wp:effectExtent l="9525" t="9525" r="19685" b="196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hqprint"/>
                    <a:srcRect/>
                    <a:stretch>
                      <a:fillRect/>
                    </a:stretch>
                  </pic:blipFill>
                  <pic:spPr>
                    <a:xfrm>
                      <a:off x="0" y="0"/>
                      <a:ext cx="5400040" cy="3856990"/>
                    </a:xfrm>
                    <a:prstGeom prst="rect">
                      <a:avLst/>
                    </a:prstGeom>
                    <a:noFill/>
                    <a:ln w="6350">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图8</w:t>
      </w:r>
      <w:r>
        <w:rPr>
          <w:rFonts w:hint="eastAsia" w:ascii="宋体" w:hAnsi="宋体" w:eastAsia="宋体" w:cs="宋体"/>
          <w:b/>
          <w:bCs/>
          <w:color w:val="000000"/>
          <w:sz w:val="21"/>
          <w:szCs w:val="21"/>
          <w:lang w:val="en-US" w:eastAsia="zh-CN"/>
        </w:rPr>
        <w:t xml:space="preserve">  </w:t>
      </w:r>
      <w:r>
        <w:rPr>
          <w:rFonts w:hint="eastAsia" w:ascii="宋体" w:hAnsi="宋体" w:eastAsia="宋体" w:cs="宋体"/>
          <w:b/>
          <w:bCs/>
          <w:color w:val="000000"/>
          <w:sz w:val="21"/>
          <w:szCs w:val="21"/>
        </w:rPr>
        <w:t>海丰县轨道交通系统规划图</w:t>
      </w:r>
    </w:p>
    <w:tbl>
      <w:tblPr>
        <w:tblStyle w:val="6"/>
        <w:tblW w:w="850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504"/>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4"/>
                <w:szCs w:val="21"/>
              </w:rPr>
              <w:t>专栏三：“十四五”时期重点建设项目（轨道）</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tcPr>
          <w:p>
            <w:pPr>
              <w:pStyle w:val="9"/>
              <w:keepNext w:val="0"/>
              <w:keepLines w:val="0"/>
              <w:pageBreakBefore w:val="0"/>
              <w:widowControl w:val="0"/>
              <w:kinsoku/>
              <w:wordWrap/>
              <w:overflowPunct/>
              <w:topLinePunct w:val="0"/>
              <w:autoSpaceDE/>
              <w:autoSpaceDN/>
              <w:bidi w:val="0"/>
              <w:adjustRightInd/>
              <w:snapToGrid/>
              <w:spacing w:line="520" w:lineRule="exact"/>
              <w:ind w:firstLine="482"/>
              <w:textAlignment w:val="auto"/>
              <w:rPr>
                <w:rFonts w:hint="eastAsia" w:ascii="宋体" w:hAnsi="宋体" w:eastAsia="宋体" w:cs="宋体"/>
                <w:sz w:val="21"/>
                <w:szCs w:val="21"/>
              </w:rPr>
            </w:pPr>
            <w:r>
              <w:rPr>
                <w:rFonts w:hint="eastAsia" w:ascii="宋体" w:hAnsi="宋体" w:eastAsia="宋体" w:cs="宋体"/>
                <w:b/>
                <w:sz w:val="21"/>
                <w:szCs w:val="21"/>
              </w:rPr>
              <w:t>广汕高铁：</w:t>
            </w:r>
            <w:r>
              <w:rPr>
                <w:rFonts w:hint="eastAsia" w:ascii="宋体" w:hAnsi="宋体" w:eastAsia="宋体" w:cs="宋体"/>
                <w:sz w:val="21"/>
                <w:szCs w:val="21"/>
              </w:rPr>
              <w:t>广汕铁路新建线路总长206.2公里，设计时速为350公里/小时。自广州新塘站引出，经过广州增城、惠州、深汕特别合作区，终点接入厦深铁路汕尾站。广汕高铁深汕站将设在深汕合作区赤石镇，建成通车后，海丰到广州全程将从过去的2个多小时缩减至40分钟左右。</w:t>
            </w:r>
          </w:p>
          <w:p>
            <w:pPr>
              <w:pStyle w:val="9"/>
              <w:keepNext w:val="0"/>
              <w:keepLines w:val="0"/>
              <w:pageBreakBefore w:val="0"/>
              <w:widowControl w:val="0"/>
              <w:kinsoku/>
              <w:wordWrap/>
              <w:overflowPunct/>
              <w:topLinePunct w:val="0"/>
              <w:autoSpaceDE/>
              <w:autoSpaceDN/>
              <w:bidi w:val="0"/>
              <w:adjustRightInd/>
              <w:snapToGrid/>
              <w:spacing w:line="520" w:lineRule="exact"/>
              <w:ind w:firstLine="482"/>
              <w:textAlignment w:val="auto"/>
              <w:rPr>
                <w:rFonts w:hint="eastAsia" w:ascii="宋体" w:hAnsi="宋体" w:eastAsia="宋体" w:cs="宋体"/>
              </w:rPr>
            </w:pPr>
            <w:r>
              <w:rPr>
                <w:rFonts w:hint="eastAsia" w:ascii="宋体" w:hAnsi="宋体" w:eastAsia="宋体" w:cs="宋体"/>
                <w:b/>
                <w:sz w:val="21"/>
                <w:szCs w:val="21"/>
              </w:rPr>
              <w:t>汕汕高铁：</w:t>
            </w:r>
            <w:r>
              <w:rPr>
                <w:rFonts w:hint="eastAsia" w:ascii="宋体" w:hAnsi="宋体" w:eastAsia="宋体" w:cs="宋体"/>
                <w:sz w:val="21"/>
                <w:szCs w:val="21"/>
              </w:rPr>
              <w:t>汕汕高速铁路起于广梅汕铁路汕头站，经汕头市、揭阳市、汕尾市（陆丰市、海丰县、东涌镇），终于厦深铁路汕尾站。设计时速为350公里/小时。项目建成后将形成粤东地区通往粤港澳大湾区核心区的全新高铁通道，对于带动海丰县快速融入“双区”具有重要意义。</w:t>
            </w:r>
          </w:p>
        </w:tc>
      </w:tr>
    </w:tbl>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2.公路建设</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建立以“高速公路快速网、国省道干线网、农村公路基础网”构成的“三张公路网”，对内构建引导城镇布局、旅游发展、产业发展，协调生态环境的高品质交通网络，实现县域主要节点快速畅通连接；对外全面融入区域发展格局，充分衔接周边地市，助力海丰与深汕合作区同城化发展，打造“双区”产业转移重要承接地、拓展区。到“十四五”期末，基本形成内畅外联的公路网络格局，为海丰建成全国新型城市化示范县提供有力支撑。</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（1）高快速路</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促进高快速路互联互通。</w:t>
      </w:r>
      <w:r>
        <w:rPr>
          <w:rFonts w:hint="eastAsia" w:ascii="宋体" w:hAnsi="宋体" w:eastAsia="宋体" w:cs="宋体"/>
          <w:color w:val="000000"/>
          <w:sz w:val="24"/>
          <w:szCs w:val="32"/>
        </w:rPr>
        <w:t>“十四五”期间，积极推进</w:t>
      </w:r>
      <w:r>
        <w:rPr>
          <w:rFonts w:hint="eastAsia" w:ascii="宋体" w:hAnsi="宋体" w:eastAsia="宋体" w:cs="宋体"/>
          <w:color w:val="000000"/>
          <w:sz w:val="24"/>
          <w:szCs w:val="32"/>
          <w:u w:val="single"/>
        </w:rPr>
        <w:t>甬莞与沈海高速公路海丰联络线、潮惠高速海城互通及服务区</w:t>
      </w:r>
      <w:r>
        <w:rPr>
          <w:rFonts w:hint="eastAsia" w:ascii="宋体" w:hAnsi="宋体" w:eastAsia="宋体" w:cs="宋体"/>
          <w:color w:val="000000"/>
          <w:sz w:val="24"/>
          <w:szCs w:val="32"/>
        </w:rPr>
        <w:t>等建设项目，配合推进沈海高速海丰段改扩建工程、兴宁至汕尾高速公路海丰至红海湾段等建设项目，填补海丰县西部镇区南北向对外大通道的空白，构建海丰高速公路环线，实现高速网络全域覆盖。到2025年，全县高速公路总里程突破100公里。</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积极推动</w:t>
      </w:r>
      <w:r>
        <w:rPr>
          <w:rFonts w:hint="eastAsia" w:ascii="宋体" w:hAnsi="宋体" w:eastAsia="宋体" w:cs="宋体"/>
          <w:color w:val="000000"/>
          <w:sz w:val="24"/>
          <w:szCs w:val="32"/>
          <w:u w:val="single"/>
        </w:rPr>
        <w:t>海丰至赤石(高铁站)一级公路海丰段建设工程、海丰县城北五环（海丰城东至梅陇段）公路建设工程、融深快线</w:t>
      </w:r>
      <w:r>
        <w:rPr>
          <w:rFonts w:hint="eastAsia" w:ascii="宋体" w:hAnsi="宋体" w:eastAsia="宋体" w:cs="宋体"/>
          <w:color w:val="000000"/>
          <w:sz w:val="24"/>
          <w:szCs w:val="32"/>
        </w:rPr>
        <w:t>等项目建设，完善对接深汕合作区的快速路网配套，拉近与大湾区核心城市的距离，加快海丰融湾步伐。远期形成“五横三纵”高快速路网布局。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表6</w:t>
      </w:r>
      <w:r>
        <w:rPr>
          <w:rFonts w:hint="eastAsia" w:ascii="宋体" w:hAnsi="宋体" w:eastAsia="宋体" w:cs="宋体"/>
          <w:b/>
          <w:bCs/>
          <w:color w:val="000000"/>
          <w:sz w:val="21"/>
          <w:szCs w:val="21"/>
          <w:lang w:val="en-US" w:eastAsia="zh-CN"/>
        </w:rPr>
        <w:t xml:space="preserve">  </w:t>
      </w:r>
      <w:r>
        <w:rPr>
          <w:rFonts w:hint="eastAsia" w:ascii="宋体" w:hAnsi="宋体" w:eastAsia="宋体" w:cs="宋体"/>
          <w:b/>
          <w:bCs/>
          <w:color w:val="000000"/>
          <w:sz w:val="21"/>
          <w:szCs w:val="21"/>
        </w:rPr>
        <w:t>海丰县“五横三纵”高快速路网布局一览表</w:t>
      </w:r>
    </w:p>
    <w:tbl>
      <w:tblPr>
        <w:tblStyle w:val="5"/>
        <w:tblW w:w="850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3422"/>
        <w:gridCol w:w="1664"/>
        <w:gridCol w:w="1055"/>
        <w:gridCol w:w="120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布局</w:t>
            </w:r>
          </w:p>
        </w:tc>
        <w:tc>
          <w:tcPr>
            <w:tcW w:w="2011"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组成部分</w:t>
            </w:r>
          </w:p>
        </w:tc>
        <w:tc>
          <w:tcPr>
            <w:tcW w:w="978"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设计速度</w:t>
            </w:r>
          </w:p>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（公里/小时）</w:t>
            </w:r>
          </w:p>
        </w:tc>
        <w:tc>
          <w:tcPr>
            <w:tcW w:w="620"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车道数</w:t>
            </w:r>
          </w:p>
        </w:tc>
        <w:tc>
          <w:tcPr>
            <w:tcW w:w="706"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建设情况</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83"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纵一</w:t>
            </w:r>
          </w:p>
        </w:tc>
        <w:tc>
          <w:tcPr>
            <w:tcW w:w="2011"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兴汕高速</w:t>
            </w:r>
          </w:p>
        </w:tc>
        <w:tc>
          <w:tcPr>
            <w:tcW w:w="978"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100</w:t>
            </w:r>
          </w:p>
        </w:tc>
        <w:tc>
          <w:tcPr>
            <w:tcW w:w="620"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706"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在建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83"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纵二</w:t>
            </w:r>
          </w:p>
        </w:tc>
        <w:tc>
          <w:tcPr>
            <w:tcW w:w="2011"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珠东快速支线</w:t>
            </w:r>
          </w:p>
        </w:tc>
        <w:tc>
          <w:tcPr>
            <w:tcW w:w="978"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80</w:t>
            </w:r>
          </w:p>
        </w:tc>
        <w:tc>
          <w:tcPr>
            <w:tcW w:w="620"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706"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规划</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83"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纵三</w:t>
            </w:r>
          </w:p>
        </w:tc>
        <w:tc>
          <w:tcPr>
            <w:tcW w:w="2011"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甬莞与沈海高速公路海丰联络线</w:t>
            </w:r>
          </w:p>
        </w:tc>
        <w:tc>
          <w:tcPr>
            <w:tcW w:w="978"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100</w:t>
            </w:r>
          </w:p>
        </w:tc>
        <w:tc>
          <w:tcPr>
            <w:tcW w:w="620"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706"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规划</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83"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横一</w:t>
            </w:r>
          </w:p>
        </w:tc>
        <w:tc>
          <w:tcPr>
            <w:tcW w:w="2011"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潮惠高速</w:t>
            </w:r>
          </w:p>
        </w:tc>
        <w:tc>
          <w:tcPr>
            <w:tcW w:w="978"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100</w:t>
            </w:r>
          </w:p>
        </w:tc>
        <w:tc>
          <w:tcPr>
            <w:tcW w:w="620"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706"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已建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83"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横二</w:t>
            </w:r>
          </w:p>
        </w:tc>
        <w:tc>
          <w:tcPr>
            <w:tcW w:w="2011"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融深快线-三环路-G324</w:t>
            </w:r>
          </w:p>
        </w:tc>
        <w:tc>
          <w:tcPr>
            <w:tcW w:w="978"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80</w:t>
            </w:r>
          </w:p>
        </w:tc>
        <w:tc>
          <w:tcPr>
            <w:tcW w:w="620"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706"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规划</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83"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横三</w:t>
            </w:r>
          </w:p>
        </w:tc>
        <w:tc>
          <w:tcPr>
            <w:tcW w:w="2011"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赤梅快速路-南五环快速路</w:t>
            </w:r>
          </w:p>
        </w:tc>
        <w:tc>
          <w:tcPr>
            <w:tcW w:w="978"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80</w:t>
            </w:r>
          </w:p>
        </w:tc>
        <w:tc>
          <w:tcPr>
            <w:tcW w:w="620"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6/4</w:t>
            </w:r>
          </w:p>
        </w:tc>
        <w:tc>
          <w:tcPr>
            <w:tcW w:w="706"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规划</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83"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横四</w:t>
            </w:r>
          </w:p>
        </w:tc>
        <w:tc>
          <w:tcPr>
            <w:tcW w:w="2011"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沈海高速</w:t>
            </w:r>
          </w:p>
        </w:tc>
        <w:tc>
          <w:tcPr>
            <w:tcW w:w="978"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100/120</w:t>
            </w:r>
          </w:p>
        </w:tc>
        <w:tc>
          <w:tcPr>
            <w:tcW w:w="620"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4/8</w:t>
            </w:r>
          </w:p>
        </w:tc>
        <w:tc>
          <w:tcPr>
            <w:tcW w:w="706"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改扩建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83"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横五</w:t>
            </w:r>
          </w:p>
        </w:tc>
        <w:tc>
          <w:tcPr>
            <w:tcW w:w="2011"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珠东快速</w:t>
            </w:r>
          </w:p>
        </w:tc>
        <w:tc>
          <w:tcPr>
            <w:tcW w:w="978"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80</w:t>
            </w:r>
          </w:p>
        </w:tc>
        <w:tc>
          <w:tcPr>
            <w:tcW w:w="620"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706"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规划</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4"/>
          <w:szCs w:val="32"/>
        </w:rPr>
      </w:pPr>
      <w:r>
        <w:rPr>
          <w:rFonts w:hint="eastAsia" w:ascii="宋体" w:hAnsi="宋体" w:eastAsia="宋体" w:cs="宋体"/>
        </w:rPr>
        <w:drawing>
          <wp:inline distT="0" distB="0" distL="0" distR="0">
            <wp:extent cx="5400040" cy="3320415"/>
            <wp:effectExtent l="9525" t="9525" r="19685" b="228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400040" cy="332041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图9 海丰县“五横三纵”高快速路网布局图</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表7</w:t>
      </w:r>
      <w:r>
        <w:rPr>
          <w:rFonts w:hint="eastAsia" w:ascii="宋体" w:hAnsi="宋体" w:eastAsia="宋体" w:cs="宋体"/>
          <w:b/>
          <w:bCs/>
          <w:color w:val="000000"/>
          <w:sz w:val="21"/>
          <w:szCs w:val="21"/>
          <w:lang w:val="en-US" w:eastAsia="zh-CN"/>
        </w:rPr>
        <w:t xml:space="preserve">  </w:t>
      </w:r>
      <w:r>
        <w:rPr>
          <w:rFonts w:hint="eastAsia" w:ascii="宋体" w:hAnsi="宋体" w:eastAsia="宋体" w:cs="宋体"/>
          <w:b/>
          <w:bCs/>
          <w:color w:val="000000"/>
          <w:sz w:val="21"/>
          <w:szCs w:val="21"/>
        </w:rPr>
        <w:t>海丰县“十四五”重大交通基础设施建设项目表（高快速路）</w:t>
      </w:r>
    </w:p>
    <w:tbl>
      <w:tblPr>
        <w:tblStyle w:val="5"/>
        <w:tblW w:w="850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4051"/>
        <w:gridCol w:w="1138"/>
        <w:gridCol w:w="1393"/>
        <w:gridCol w:w="127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383"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2381"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项目名称</w:t>
            </w:r>
          </w:p>
        </w:tc>
        <w:tc>
          <w:tcPr>
            <w:tcW w:w="669"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建设规模</w:t>
            </w:r>
          </w:p>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（公里）</w:t>
            </w:r>
          </w:p>
        </w:tc>
        <w:tc>
          <w:tcPr>
            <w:tcW w:w="819"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十四五投资</w:t>
            </w:r>
          </w:p>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（亿元）</w:t>
            </w:r>
          </w:p>
        </w:tc>
        <w:tc>
          <w:tcPr>
            <w:tcW w:w="746"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总投资</w:t>
            </w:r>
          </w:p>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（亿元）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3" w:type="pct"/>
            <w:vAlign w:val="center"/>
          </w:tcPr>
          <w:p>
            <w:pPr>
              <w:pStyle w:val="9"/>
              <w:spacing w:line="240" w:lineRule="auto"/>
              <w:ind w:firstLine="0" w:firstLineChars="0"/>
              <w:jc w:val="center"/>
              <w:rPr>
                <w:rFonts w:hint="eastAsia" w:ascii="宋体" w:hAnsi="宋体" w:eastAsia="宋体" w:cs="宋体"/>
                <w:color w:val="auto"/>
                <w:sz w:val="21"/>
                <w:szCs w:val="21"/>
              </w:rPr>
            </w:pPr>
          </w:p>
        </w:tc>
        <w:tc>
          <w:tcPr>
            <w:tcW w:w="2381"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b/>
                <w:color w:val="auto"/>
                <w:sz w:val="21"/>
                <w:szCs w:val="21"/>
              </w:rPr>
              <w:t>高快速路（共7项）</w:t>
            </w:r>
          </w:p>
        </w:tc>
        <w:tc>
          <w:tcPr>
            <w:tcW w:w="669" w:type="pct"/>
            <w:vAlign w:val="center"/>
          </w:tcPr>
          <w:p>
            <w:pPr>
              <w:pStyle w:val="9"/>
              <w:spacing w:line="240" w:lineRule="auto"/>
              <w:ind w:firstLine="0" w:firstLineChars="0"/>
              <w:jc w:val="center"/>
              <w:rPr>
                <w:rFonts w:hint="eastAsia" w:ascii="宋体" w:hAnsi="宋体" w:eastAsia="宋体" w:cs="宋体"/>
                <w:sz w:val="21"/>
                <w:szCs w:val="21"/>
              </w:rPr>
            </w:pPr>
          </w:p>
        </w:tc>
        <w:tc>
          <w:tcPr>
            <w:tcW w:w="819" w:type="pct"/>
            <w:vAlign w:val="center"/>
          </w:tcPr>
          <w:p>
            <w:pPr>
              <w:pStyle w:val="9"/>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4.30</w:t>
            </w:r>
          </w:p>
        </w:tc>
        <w:tc>
          <w:tcPr>
            <w:tcW w:w="746" w:type="pct"/>
            <w:vAlign w:val="center"/>
          </w:tcPr>
          <w:p>
            <w:pPr>
              <w:pStyle w:val="9"/>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121.71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3"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381"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甬莞与沈海高速公路海丰联络线</w:t>
            </w:r>
          </w:p>
        </w:tc>
        <w:tc>
          <w:tcPr>
            <w:tcW w:w="669"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sz w:val="21"/>
                <w:szCs w:val="21"/>
              </w:rPr>
              <w:t>18.00</w:t>
            </w:r>
          </w:p>
        </w:tc>
        <w:tc>
          <w:tcPr>
            <w:tcW w:w="819"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1.00</w:t>
            </w:r>
          </w:p>
        </w:tc>
        <w:tc>
          <w:tcPr>
            <w:tcW w:w="746"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sz w:val="21"/>
                <w:szCs w:val="21"/>
              </w:rPr>
              <w:t>26.40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3"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381"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sz w:val="21"/>
                <w:szCs w:val="21"/>
              </w:rPr>
              <w:t>潮惠高速海城互通及服务区</w:t>
            </w:r>
          </w:p>
        </w:tc>
        <w:tc>
          <w:tcPr>
            <w:tcW w:w="669"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sz w:val="21"/>
                <w:szCs w:val="21"/>
              </w:rPr>
              <w:t>-</w:t>
            </w:r>
          </w:p>
        </w:tc>
        <w:tc>
          <w:tcPr>
            <w:tcW w:w="819"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3.00</w:t>
            </w:r>
          </w:p>
        </w:tc>
        <w:tc>
          <w:tcPr>
            <w:tcW w:w="746"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sz w:val="21"/>
                <w:szCs w:val="21"/>
              </w:rPr>
              <w:t>3.00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3"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381"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海丰至赤石（高铁站）一级公路海丰段建设工程（赤梅快速路）</w:t>
            </w:r>
          </w:p>
        </w:tc>
        <w:tc>
          <w:tcPr>
            <w:tcW w:w="669"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10.52</w:t>
            </w:r>
          </w:p>
        </w:tc>
        <w:tc>
          <w:tcPr>
            <w:tcW w:w="819"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0.05</w:t>
            </w:r>
          </w:p>
        </w:tc>
        <w:tc>
          <w:tcPr>
            <w:tcW w:w="746"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20.15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3"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381"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海丰县城北五环（海丰城东至梅陇段）公路建设工程（融湾大道）</w:t>
            </w:r>
          </w:p>
        </w:tc>
        <w:tc>
          <w:tcPr>
            <w:tcW w:w="669"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25.00</w:t>
            </w:r>
          </w:p>
        </w:tc>
        <w:tc>
          <w:tcPr>
            <w:tcW w:w="819"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0.05</w:t>
            </w:r>
          </w:p>
        </w:tc>
        <w:tc>
          <w:tcPr>
            <w:tcW w:w="746"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19.36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3"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2381"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海丰县南五环建设工程项目</w:t>
            </w:r>
          </w:p>
        </w:tc>
        <w:tc>
          <w:tcPr>
            <w:tcW w:w="669"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36.40</w:t>
            </w:r>
          </w:p>
        </w:tc>
        <w:tc>
          <w:tcPr>
            <w:tcW w:w="819"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0.10</w:t>
            </w:r>
          </w:p>
        </w:tc>
        <w:tc>
          <w:tcPr>
            <w:tcW w:w="746"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28.80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3"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2381"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融深快线</w:t>
            </w:r>
          </w:p>
        </w:tc>
        <w:tc>
          <w:tcPr>
            <w:tcW w:w="669"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8.5</w:t>
            </w:r>
          </w:p>
        </w:tc>
        <w:tc>
          <w:tcPr>
            <w:tcW w:w="819"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0.05</w:t>
            </w:r>
          </w:p>
        </w:tc>
        <w:tc>
          <w:tcPr>
            <w:tcW w:w="746"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15.00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3"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2381"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北三环快速化改造工程</w:t>
            </w:r>
          </w:p>
        </w:tc>
        <w:tc>
          <w:tcPr>
            <w:tcW w:w="669"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11</w:t>
            </w:r>
          </w:p>
        </w:tc>
        <w:tc>
          <w:tcPr>
            <w:tcW w:w="819"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0.05</w:t>
            </w:r>
          </w:p>
        </w:tc>
        <w:tc>
          <w:tcPr>
            <w:tcW w:w="746"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9.00</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4"/>
          <w:szCs w:val="32"/>
        </w:rPr>
      </w:pPr>
      <w:r>
        <w:rPr>
          <w:rFonts w:hint="eastAsia" w:ascii="宋体" w:hAnsi="宋体" w:eastAsia="宋体" w:cs="宋体"/>
        </w:rPr>
        <w:drawing>
          <wp:inline distT="0" distB="0" distL="0" distR="0">
            <wp:extent cx="5400040" cy="3628390"/>
            <wp:effectExtent l="9525" t="9525" r="19685" b="19685"/>
            <wp:docPr id="6" name="图片 6" descr="F:\——十四五综合交通规划\海丰县十四五规划\出图\海丰十四五图集\新图集\03海丰县高快速路系统规划图（远景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十四五综合交通规划\海丰县十四五规划\出图\海丰十四五图集\新图集\03海丰县高快速路系统规划图（远景年）.jpg"/>
                    <pic:cNvPicPr>
                      <a:picLocks noChangeAspect="1" noChangeArrowheads="1"/>
                    </pic:cNvPicPr>
                  </pic:nvPicPr>
                  <pic:blipFill>
                    <a:blip r:embed="rId18" cstate="hqprint"/>
                    <a:srcRect/>
                    <a:stretch>
                      <a:fillRect/>
                    </a:stretch>
                  </pic:blipFill>
                  <pic:spPr>
                    <a:xfrm>
                      <a:off x="0" y="0"/>
                      <a:ext cx="5400040" cy="3628390"/>
                    </a:xfrm>
                    <a:prstGeom prst="rect">
                      <a:avLst/>
                    </a:prstGeom>
                    <a:noFill/>
                    <a:ln w="6350">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图10 海丰县高快速路系统规划图</w:t>
      </w:r>
    </w:p>
    <w:tbl>
      <w:tblPr>
        <w:tblStyle w:val="5"/>
        <w:tblW w:w="850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504"/>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4"/>
                <w:szCs w:val="21"/>
              </w:rPr>
            </w:pPr>
            <w:r>
              <w:rPr>
                <w:rFonts w:hint="eastAsia" w:ascii="宋体" w:hAnsi="宋体" w:eastAsia="宋体" w:cs="宋体"/>
                <w:b/>
                <w:color w:val="auto"/>
                <w:sz w:val="24"/>
                <w:szCs w:val="21"/>
              </w:rPr>
              <w:t>专栏四：</w:t>
            </w:r>
            <w:r>
              <w:rPr>
                <w:rFonts w:hint="eastAsia" w:ascii="宋体" w:hAnsi="宋体" w:eastAsia="宋体" w:cs="宋体"/>
                <w:b/>
                <w:sz w:val="24"/>
                <w:szCs w:val="21"/>
              </w:rPr>
              <w:t>“十四五”时期重点建设项目（高快速路）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tcPr>
          <w:p>
            <w:pPr>
              <w:pStyle w:val="9"/>
              <w:keepNext w:val="0"/>
              <w:keepLines w:val="0"/>
              <w:pageBreakBefore w:val="0"/>
              <w:widowControl w:val="0"/>
              <w:kinsoku/>
              <w:wordWrap/>
              <w:overflowPunct/>
              <w:topLinePunct w:val="0"/>
              <w:autoSpaceDE/>
              <w:autoSpaceDN/>
              <w:bidi w:val="0"/>
              <w:adjustRightInd/>
              <w:snapToGrid/>
              <w:spacing w:line="460" w:lineRule="exact"/>
              <w:ind w:firstLine="482"/>
              <w:textAlignment w:val="auto"/>
              <w:rPr>
                <w:rFonts w:hint="eastAsia" w:ascii="宋体" w:hAnsi="宋体" w:eastAsia="宋体" w:cs="宋体"/>
                <w:sz w:val="21"/>
                <w:szCs w:val="21"/>
              </w:rPr>
            </w:pPr>
            <w:r>
              <w:rPr>
                <w:rFonts w:hint="eastAsia" w:ascii="宋体" w:hAnsi="宋体" w:eastAsia="宋体" w:cs="宋体"/>
                <w:b/>
                <w:sz w:val="21"/>
                <w:szCs w:val="21"/>
              </w:rPr>
              <w:t>甬莞与沈海高速海丰联络线：</w:t>
            </w:r>
            <w:r>
              <w:rPr>
                <w:rFonts w:hint="eastAsia" w:ascii="宋体" w:hAnsi="宋体" w:eastAsia="宋体" w:cs="宋体"/>
                <w:sz w:val="21"/>
                <w:szCs w:val="21"/>
              </w:rPr>
              <w:t>甬莞与沈海高速海丰联络线起于潮惠高速海丰西互通处，经海丰北部，终于梅陇农场与深汕高速互联互通，里程约18公里，设计速度100公里/小时，全线采用双向四车道高速公路标准。项目预计于2025年开工建设，2030年建成通车，建成后将成为潮惠高速与深汕高速的联络线，提高路网运行的可靠度，快速连通珠三角地区和北上河源等地区，对海丰县融入“双区”发展具有重要作用，争取该联络线纳入高速公路网规划并推动实施。</w:t>
            </w:r>
          </w:p>
          <w:p>
            <w:pPr>
              <w:pStyle w:val="9"/>
              <w:keepNext w:val="0"/>
              <w:keepLines w:val="0"/>
              <w:pageBreakBefore w:val="0"/>
              <w:widowControl w:val="0"/>
              <w:kinsoku/>
              <w:wordWrap/>
              <w:overflowPunct/>
              <w:topLinePunct w:val="0"/>
              <w:autoSpaceDE/>
              <w:autoSpaceDN/>
              <w:bidi w:val="0"/>
              <w:adjustRightInd/>
              <w:snapToGrid/>
              <w:spacing w:line="460" w:lineRule="exact"/>
              <w:ind w:firstLine="482"/>
              <w:textAlignment w:val="auto"/>
              <w:rPr>
                <w:rFonts w:hint="eastAsia" w:ascii="宋体" w:hAnsi="宋体" w:eastAsia="宋体" w:cs="宋体"/>
                <w:color w:val="auto"/>
                <w:sz w:val="24"/>
                <w:szCs w:val="21"/>
              </w:rPr>
            </w:pPr>
            <w:r>
              <w:rPr>
                <w:rFonts w:hint="eastAsia" w:ascii="宋体" w:hAnsi="宋体" w:eastAsia="宋体" w:cs="宋体"/>
                <w:b/>
                <w:color w:val="auto"/>
                <w:sz w:val="21"/>
                <w:szCs w:val="21"/>
              </w:rPr>
              <w:t>潮惠高速海城互通及服务区：</w:t>
            </w:r>
            <w:r>
              <w:rPr>
                <w:rFonts w:hint="eastAsia" w:ascii="宋体" w:hAnsi="宋体" w:eastAsia="宋体" w:cs="宋体"/>
                <w:color w:val="auto"/>
                <w:sz w:val="21"/>
                <w:szCs w:val="21"/>
              </w:rPr>
              <w:t>潮惠高速公路（海丰段）海城互通立交项目位于海丰与海丰西互通之间，立交间距分别为10.3公里、7.2公里，连接莲花山大道，是莲花山镇上下潮惠高速出入口。新增服务区选址位于坑口（海丰到塘尾互通之间），与西边莲花山服务区间距35.4公里，与东边陆河服务区间距20.6公里。新增服务区高速主线拼宽路段1.7公里，匝道全长约2.0公里，场区占地面积约200亩。</w:t>
            </w:r>
          </w:p>
        </w:tc>
      </w:tr>
    </w:tbl>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（2）国省干线</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加快国省干线升级改造。</w:t>
      </w:r>
      <w:r>
        <w:rPr>
          <w:rFonts w:hint="eastAsia" w:ascii="宋体" w:hAnsi="宋体" w:eastAsia="宋体" w:cs="宋体"/>
          <w:color w:val="000000"/>
          <w:sz w:val="24"/>
          <w:szCs w:val="32"/>
        </w:rPr>
        <w:t>“十四五”期间，应围绕国省道难点、堵点、瓶颈路段、低等级路段等薄弱环节，稳步推进国省干线提质改造，打造覆盖广泛、衔接顺畅、行驶安全、服务优质的“国省道干线网”，增强国省干线运输保障功能。重点实施</w:t>
      </w:r>
      <w:r>
        <w:rPr>
          <w:rFonts w:hint="eastAsia" w:ascii="宋体" w:hAnsi="宋体" w:eastAsia="宋体" w:cs="宋体"/>
          <w:color w:val="000000"/>
          <w:sz w:val="24"/>
          <w:szCs w:val="32"/>
          <w:u w:val="single"/>
        </w:rPr>
        <w:t>国道G228路面升级改造工程、国道G236线海丰县公平镇至东园村段改建工程、国道G324线海丰县城至梅陇段改建工程</w:t>
      </w:r>
      <w:r>
        <w:rPr>
          <w:rFonts w:hint="eastAsia" w:ascii="宋体" w:hAnsi="宋体" w:eastAsia="宋体" w:cs="宋体"/>
          <w:color w:val="000000"/>
          <w:sz w:val="24"/>
          <w:szCs w:val="32"/>
        </w:rPr>
        <w:t>等国省干线建设项目；力争在“十四五”末开工建设</w:t>
      </w:r>
      <w:r>
        <w:rPr>
          <w:rFonts w:hint="eastAsia" w:ascii="宋体" w:hAnsi="宋体" w:eastAsia="宋体" w:cs="宋体"/>
          <w:color w:val="000000"/>
          <w:sz w:val="24"/>
          <w:szCs w:val="32"/>
          <w:u w:val="single"/>
        </w:rPr>
        <w:t>国道G235线海丰县公平镇过境段改建工程、国道G235线南坑至公平镇段改造工程</w:t>
      </w:r>
      <w:r>
        <w:rPr>
          <w:rFonts w:hint="eastAsia" w:ascii="宋体" w:hAnsi="宋体" w:eastAsia="宋体" w:cs="宋体"/>
          <w:color w:val="000000"/>
          <w:sz w:val="24"/>
          <w:szCs w:val="32"/>
        </w:rPr>
        <w:t>等项目。随城市化进程加快，远期谋划G235南延，疏解南北向过境交通，充分释放县城道路交通资源，形成更加集约高效的国省干线系统。</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表8</w:t>
      </w:r>
      <w:r>
        <w:rPr>
          <w:rFonts w:hint="eastAsia" w:ascii="宋体" w:hAnsi="宋体" w:eastAsia="宋体" w:cs="宋体"/>
          <w:b/>
          <w:bCs/>
          <w:color w:val="000000"/>
          <w:sz w:val="21"/>
          <w:szCs w:val="21"/>
          <w:lang w:val="en-US" w:eastAsia="zh-CN"/>
        </w:rPr>
        <w:t xml:space="preserve">  </w:t>
      </w:r>
      <w:r>
        <w:rPr>
          <w:rFonts w:hint="eastAsia" w:ascii="宋体" w:hAnsi="宋体" w:eastAsia="宋体" w:cs="宋体"/>
          <w:b/>
          <w:bCs/>
          <w:color w:val="000000"/>
          <w:sz w:val="21"/>
          <w:szCs w:val="21"/>
        </w:rPr>
        <w:t>海丰县“十四五”重大交通基础设施建设项目表（国省干线）</w:t>
      </w:r>
    </w:p>
    <w:tbl>
      <w:tblPr>
        <w:tblStyle w:val="5"/>
        <w:tblW w:w="850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4347"/>
        <w:gridCol w:w="1155"/>
        <w:gridCol w:w="1305"/>
        <w:gridCol w:w="104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2555"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项目名称</w:t>
            </w:r>
          </w:p>
        </w:tc>
        <w:tc>
          <w:tcPr>
            <w:tcW w:w="679"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建设规模</w:t>
            </w:r>
          </w:p>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（公里）</w:t>
            </w:r>
          </w:p>
        </w:tc>
        <w:tc>
          <w:tcPr>
            <w:tcW w:w="767"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十四五投资</w:t>
            </w:r>
          </w:p>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（亿元）</w:t>
            </w:r>
          </w:p>
        </w:tc>
        <w:tc>
          <w:tcPr>
            <w:tcW w:w="612"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总投资</w:t>
            </w:r>
          </w:p>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（亿元）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85" w:type="pct"/>
            <w:vAlign w:val="center"/>
          </w:tcPr>
          <w:p>
            <w:pPr>
              <w:pStyle w:val="9"/>
              <w:spacing w:line="240" w:lineRule="auto"/>
              <w:ind w:firstLine="0" w:firstLineChars="0"/>
              <w:jc w:val="center"/>
              <w:rPr>
                <w:rFonts w:hint="eastAsia" w:ascii="宋体" w:hAnsi="宋体" w:eastAsia="宋体" w:cs="宋体"/>
                <w:color w:val="auto"/>
                <w:sz w:val="21"/>
                <w:szCs w:val="21"/>
              </w:rPr>
            </w:pPr>
          </w:p>
        </w:tc>
        <w:tc>
          <w:tcPr>
            <w:tcW w:w="255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b/>
                <w:color w:val="auto"/>
                <w:sz w:val="21"/>
                <w:szCs w:val="21"/>
              </w:rPr>
              <w:t>国省干线（共11项）</w:t>
            </w:r>
          </w:p>
        </w:tc>
        <w:tc>
          <w:tcPr>
            <w:tcW w:w="679" w:type="pct"/>
            <w:vAlign w:val="center"/>
          </w:tcPr>
          <w:p>
            <w:pPr>
              <w:pStyle w:val="9"/>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152.91</w:t>
            </w:r>
          </w:p>
        </w:tc>
        <w:tc>
          <w:tcPr>
            <w:tcW w:w="767" w:type="pct"/>
            <w:vAlign w:val="center"/>
          </w:tcPr>
          <w:p>
            <w:pPr>
              <w:pStyle w:val="9"/>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33.33</w:t>
            </w:r>
          </w:p>
        </w:tc>
        <w:tc>
          <w:tcPr>
            <w:tcW w:w="612" w:type="pct"/>
            <w:vAlign w:val="center"/>
          </w:tcPr>
          <w:p>
            <w:pPr>
              <w:pStyle w:val="9"/>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97.43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55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国道G228路面升级改造工程</w:t>
            </w:r>
          </w:p>
        </w:tc>
        <w:tc>
          <w:tcPr>
            <w:tcW w:w="679"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20.00</w:t>
            </w:r>
          </w:p>
        </w:tc>
        <w:tc>
          <w:tcPr>
            <w:tcW w:w="767"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1.00</w:t>
            </w:r>
          </w:p>
        </w:tc>
        <w:tc>
          <w:tcPr>
            <w:tcW w:w="612"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55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国道G235线海丰县公平镇过境段改建工程</w:t>
            </w:r>
          </w:p>
        </w:tc>
        <w:tc>
          <w:tcPr>
            <w:tcW w:w="679"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8.06</w:t>
            </w:r>
          </w:p>
        </w:tc>
        <w:tc>
          <w:tcPr>
            <w:tcW w:w="767"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0.05</w:t>
            </w:r>
          </w:p>
        </w:tc>
        <w:tc>
          <w:tcPr>
            <w:tcW w:w="612"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6.30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55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国道G235线南坑至公平镇段改造工程</w:t>
            </w:r>
          </w:p>
        </w:tc>
        <w:tc>
          <w:tcPr>
            <w:tcW w:w="679"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16.30</w:t>
            </w:r>
          </w:p>
        </w:tc>
        <w:tc>
          <w:tcPr>
            <w:tcW w:w="767"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0.05</w:t>
            </w:r>
          </w:p>
        </w:tc>
        <w:tc>
          <w:tcPr>
            <w:tcW w:w="612"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7.50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55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国道G236线海丰县公平镇至东园村段改建工程</w:t>
            </w:r>
          </w:p>
        </w:tc>
        <w:tc>
          <w:tcPr>
            <w:tcW w:w="679"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6.00</w:t>
            </w:r>
          </w:p>
        </w:tc>
        <w:tc>
          <w:tcPr>
            <w:tcW w:w="767"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1.91</w:t>
            </w:r>
          </w:p>
        </w:tc>
        <w:tc>
          <w:tcPr>
            <w:tcW w:w="612"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2.95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255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国道G236线海丰县高潭岭至公平段改建工程</w:t>
            </w:r>
          </w:p>
        </w:tc>
        <w:tc>
          <w:tcPr>
            <w:tcW w:w="679"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16.00</w:t>
            </w:r>
          </w:p>
        </w:tc>
        <w:tc>
          <w:tcPr>
            <w:tcW w:w="767"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0.05</w:t>
            </w:r>
          </w:p>
        </w:tc>
        <w:tc>
          <w:tcPr>
            <w:tcW w:w="612"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13.14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255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国道G236线海丰县城过境段改建工程</w:t>
            </w:r>
          </w:p>
        </w:tc>
        <w:tc>
          <w:tcPr>
            <w:tcW w:w="679"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6.00</w:t>
            </w:r>
          </w:p>
        </w:tc>
        <w:tc>
          <w:tcPr>
            <w:tcW w:w="767"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0.05</w:t>
            </w:r>
          </w:p>
        </w:tc>
        <w:tc>
          <w:tcPr>
            <w:tcW w:w="612"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8.24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255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广东省汕尾市海丰可塘至深汕合作区基础设施建设项目</w:t>
            </w:r>
          </w:p>
        </w:tc>
        <w:tc>
          <w:tcPr>
            <w:tcW w:w="679"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37.55</w:t>
            </w:r>
          </w:p>
        </w:tc>
        <w:tc>
          <w:tcPr>
            <w:tcW w:w="767"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22.39</w:t>
            </w:r>
          </w:p>
        </w:tc>
        <w:tc>
          <w:tcPr>
            <w:tcW w:w="612"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27.09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255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省道S241线海丰县可塘至海丰东互通段改造工程</w:t>
            </w:r>
          </w:p>
        </w:tc>
        <w:tc>
          <w:tcPr>
            <w:tcW w:w="679"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8.00</w:t>
            </w:r>
          </w:p>
        </w:tc>
        <w:tc>
          <w:tcPr>
            <w:tcW w:w="767"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2.00</w:t>
            </w:r>
          </w:p>
        </w:tc>
        <w:tc>
          <w:tcPr>
            <w:tcW w:w="612"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7.20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255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省道S510线黄羌至平东段改造工程</w:t>
            </w:r>
          </w:p>
        </w:tc>
        <w:tc>
          <w:tcPr>
            <w:tcW w:w="679"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35.00</w:t>
            </w:r>
          </w:p>
        </w:tc>
        <w:tc>
          <w:tcPr>
            <w:tcW w:w="767"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1.00</w:t>
            </w:r>
          </w:p>
        </w:tc>
        <w:tc>
          <w:tcPr>
            <w:tcW w:w="612"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17.50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255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海丰县南三环海丽大道互通工程</w:t>
            </w:r>
          </w:p>
        </w:tc>
        <w:tc>
          <w:tcPr>
            <w:tcW w:w="679"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767"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4.53</w:t>
            </w:r>
          </w:p>
        </w:tc>
        <w:tc>
          <w:tcPr>
            <w:tcW w:w="612"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4.53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8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255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海丰县莲花山与北三环交叉口改造工程</w:t>
            </w:r>
          </w:p>
        </w:tc>
        <w:tc>
          <w:tcPr>
            <w:tcW w:w="679"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767"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0.30</w:t>
            </w:r>
          </w:p>
        </w:tc>
        <w:tc>
          <w:tcPr>
            <w:tcW w:w="612"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1.98</w:t>
            </w:r>
          </w:p>
        </w:tc>
      </w:tr>
    </w:tbl>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000000"/>
          <w:sz w:val="24"/>
          <w:szCs w:val="32"/>
        </w:rPr>
      </w:pPr>
      <w:r>
        <w:rPr>
          <w:rFonts w:hint="eastAsia" w:ascii="宋体" w:hAnsi="宋体" w:eastAsia="宋体" w:cs="宋体"/>
        </w:rPr>
        <w:drawing>
          <wp:inline distT="0" distB="0" distL="0" distR="0">
            <wp:extent cx="5400040" cy="3473450"/>
            <wp:effectExtent l="9525" t="9525" r="19685" b="222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400040" cy="3473450"/>
                    </a:xfrm>
                    <a:prstGeom prst="rect">
                      <a:avLst/>
                    </a:prstGeom>
                    <a:ln w="6350">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图11 海丰县国省干线系统规划图</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（3）农村公路</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推进四好农村公路建设。</w:t>
      </w:r>
      <w:r>
        <w:rPr>
          <w:rFonts w:hint="eastAsia" w:ascii="宋体" w:hAnsi="宋体" w:eastAsia="宋体" w:cs="宋体"/>
          <w:color w:val="000000"/>
          <w:sz w:val="24"/>
          <w:szCs w:val="32"/>
        </w:rPr>
        <w:t>“十四五”期间，做好农村公路统筹规划，加强农村运输基础设施建设，提升农村公路服务能力，重点落实四个方面建设任务：一是加快县道网的提档升级，建设里程约53公里；二是推进建制村双车道公路建设，建设里程约84公里；三是实现衔接普通国省道的农村公路单改双，建设里程约48公里；四是对交通量较大的乡、村道进行提质改造，建设里程约3公里（项目详情见附表2~5）。稳步扩大农村公路网络覆盖程度，构建覆盖广泛“农村公路基础网”，推动“四好农村路”高质量发展。到2025年，实现农村公路与国省干线公路以及城市道路的有效对接互通；实现农村公路零危桥，确保农村公路更加畅通、安全、舒适、美丽。</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表9</w:t>
      </w:r>
      <w:r>
        <w:rPr>
          <w:rFonts w:hint="eastAsia" w:ascii="宋体" w:hAnsi="宋体" w:eastAsia="宋体" w:cs="宋体"/>
          <w:b/>
          <w:bCs/>
          <w:color w:val="000000"/>
          <w:sz w:val="21"/>
          <w:szCs w:val="21"/>
          <w:lang w:val="en-US" w:eastAsia="zh-CN"/>
        </w:rPr>
        <w:t xml:space="preserve">  </w:t>
      </w:r>
      <w:r>
        <w:rPr>
          <w:rFonts w:hint="eastAsia" w:ascii="宋体" w:hAnsi="宋体" w:eastAsia="宋体" w:cs="宋体"/>
          <w:b/>
          <w:bCs/>
          <w:color w:val="000000"/>
          <w:sz w:val="21"/>
          <w:szCs w:val="21"/>
        </w:rPr>
        <w:t>海丰县“十四五”重大交通基础设施建设项目表（四好农村公路）</w:t>
      </w:r>
    </w:p>
    <w:tbl>
      <w:tblPr>
        <w:tblStyle w:val="5"/>
        <w:tblW w:w="4853"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4427"/>
        <w:gridCol w:w="1185"/>
        <w:gridCol w:w="1319"/>
        <w:gridCol w:w="105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2548"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项目名称</w:t>
            </w:r>
          </w:p>
        </w:tc>
        <w:tc>
          <w:tcPr>
            <w:tcW w:w="682"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建设规模</w:t>
            </w:r>
          </w:p>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（公里）</w:t>
            </w:r>
          </w:p>
        </w:tc>
        <w:tc>
          <w:tcPr>
            <w:tcW w:w="759"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十四五投资</w:t>
            </w:r>
          </w:p>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（亿元）</w:t>
            </w:r>
          </w:p>
        </w:tc>
        <w:tc>
          <w:tcPr>
            <w:tcW w:w="608"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总投资</w:t>
            </w:r>
          </w:p>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（亿元）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四好农村公路（共32项）</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b/>
                <w:sz w:val="21"/>
                <w:szCs w:val="21"/>
              </w:rPr>
            </w:pPr>
            <w:r>
              <w:rPr>
                <w:rFonts w:hint="eastAsia" w:ascii="宋体" w:hAnsi="宋体" w:eastAsia="宋体" w:cs="宋体"/>
                <w:b/>
                <w:sz w:val="21"/>
                <w:szCs w:val="21"/>
              </w:rPr>
              <w:t>512.5</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b/>
                <w:sz w:val="21"/>
                <w:szCs w:val="21"/>
              </w:rPr>
            </w:pPr>
            <w:r>
              <w:rPr>
                <w:rFonts w:hint="eastAsia" w:ascii="宋体" w:hAnsi="宋体" w:eastAsia="宋体" w:cs="宋体"/>
                <w:b/>
                <w:sz w:val="21"/>
                <w:szCs w:val="21"/>
              </w:rPr>
              <w:t>21.90</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b/>
                <w:sz w:val="21"/>
                <w:szCs w:val="21"/>
              </w:rPr>
            </w:pPr>
            <w:r>
              <w:rPr>
                <w:rFonts w:hint="eastAsia" w:ascii="宋体" w:hAnsi="宋体" w:eastAsia="宋体" w:cs="宋体"/>
                <w:b/>
                <w:sz w:val="21"/>
                <w:szCs w:val="21"/>
              </w:rPr>
              <w:t>39.07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县道X127线升级改造项目</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6.5</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0.20</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0.20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县道X129线升级改造项目</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32.59</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0.98</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0.98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县道X130线升级改造项目</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9.74</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0.29</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0.29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县道X804线梅陇至梅尖升级改造项目</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10.93</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0.33</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0.33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海丰县通建制村双车道公路建设项目</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101</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1.63</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1.63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海丰县衔接高速公路的农村公路四升三项目</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15</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0.27</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0.33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海丰县衔接普通国省道的农村公路单改双项目</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120</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1.92</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1.92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海丰县人居整治村委通自然村村道硬底化项目</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24.5</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0.20</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0.20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海丰县道山至大液桥公路建设项目</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11</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0.50</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海丰县新北村至城区东涌海丰段建设项目</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18</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0.53</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0.98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海丰县罗山至潭西公路建设项目</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19</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0.63</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0.73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潮惠出口连接线至广泰元农业科技</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0.05</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0.05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梅陇中路至梅陇农场路段</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0.03</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0.03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后围徐村道（东一村至后围齐）</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0.5</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0.02</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0.02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15</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东风路口至潮惠出口连接线</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6.1</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0.12</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0.12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海丰县梅陇农场梅联公路及国道G324线至农场主干线道路升级工程</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18</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0.13</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0.25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省道S335线（双墩）至陆丰西南（海丰段）公路工程二期工程</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7.97</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0.17</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0.17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平东镇“平龙小镇”道路建设工程</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14.9</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3.97</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3.97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19</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海城镇万中村委万中至夏村公路建设工程</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2.77</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0.04</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0.04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20</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优冲村至梅陇农场沿海路</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9.5</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2.00</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海丰县陶河至可塘公路建设工程</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0.27</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0.88</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0.88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黄羌林场49团团部旧址连接公路升级改造工程</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2.2</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0.01</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0.01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23</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黄羌林场富足园坑尾公路建设工程</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2.4</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0.03</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0.03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24</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黄羌林场环场公路</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21</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0.34</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0.34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25</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山脚村、石牌社区通海路</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7.5</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0.03</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0.03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26</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省道S242线（双新）经黄羌至陆河新田海丰段工程（二期）综合改造</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21.38</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0.11</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0.11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27</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可塘镇竹头桥改扩建暨全镇农村路桥治理工作</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0.80</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0.80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28</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国道G236线平新村委至富城酒店路面升级改造工程</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1.4</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0.40</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0.40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29</w:t>
            </w:r>
          </w:p>
        </w:tc>
        <w:tc>
          <w:tcPr>
            <w:tcW w:w="254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省道S335线公平英豪桥至跃进桥升级改造工程</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0.30</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0.30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30</w:t>
            </w:r>
          </w:p>
        </w:tc>
        <w:tc>
          <w:tcPr>
            <w:tcW w:w="2548" w:type="pct"/>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sz w:val="21"/>
                <w:szCs w:val="21"/>
              </w:rPr>
              <w:t>海丰县附城镇笏口村笏口一路路面扩宽工程及笏口三路建设工程</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1.2</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0.04</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0.04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31</w:t>
            </w:r>
          </w:p>
        </w:tc>
        <w:tc>
          <w:tcPr>
            <w:tcW w:w="2548" w:type="pct"/>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海丰县城北四环黄江北桥建设工程</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2.20</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4.90</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4.90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401"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32</w:t>
            </w:r>
          </w:p>
        </w:tc>
        <w:tc>
          <w:tcPr>
            <w:tcW w:w="2548" w:type="pct"/>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海丰县城东圆墩村至陶河金锡村公路建设工程</w:t>
            </w:r>
          </w:p>
        </w:tc>
        <w:tc>
          <w:tcPr>
            <w:tcW w:w="682"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19.50</w:t>
            </w:r>
          </w:p>
        </w:tc>
        <w:tc>
          <w:tcPr>
            <w:tcW w:w="759"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0.05</w:t>
            </w:r>
          </w:p>
        </w:tc>
        <w:tc>
          <w:tcPr>
            <w:tcW w:w="608" w:type="pct"/>
            <w:vAlign w:val="center"/>
          </w:tcPr>
          <w:p>
            <w:pPr>
              <w:pStyle w:val="9"/>
              <w:keepNext w:val="0"/>
              <w:keepLines w:val="0"/>
              <w:pageBreakBefore w:val="0"/>
              <w:kinsoku/>
              <w:wordWrap/>
              <w:overflowPunct/>
              <w:topLinePunct w:val="0"/>
              <w:autoSpaceDE/>
              <w:autoSpaceDN/>
              <w:bidi w:val="0"/>
              <w:adjustRightInd/>
              <w:snapToGrid/>
              <w:spacing w:line="2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16.50</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bCs/>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4"/>
          <w:szCs w:val="32"/>
        </w:rPr>
      </w:pPr>
      <w:r>
        <w:rPr>
          <w:rFonts w:hint="eastAsia" w:ascii="宋体" w:hAnsi="宋体" w:eastAsia="宋体" w:cs="宋体"/>
          <w:b/>
          <w:bCs/>
        </w:rPr>
        <w:drawing>
          <wp:inline distT="0" distB="0" distL="0" distR="0">
            <wp:extent cx="5400040" cy="3141345"/>
            <wp:effectExtent l="9525" t="9525" r="19685" b="11430"/>
            <wp:docPr id="19" name="图片 19" descr="F:\——十四五综合交通规划\海丰县十四五规划\出图\海丰十四五图集\新图集\07海丰县“十四五”规划农村公路项目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十四五综合交通规划\海丰县十四五规划\出图\海丰十四五图集\新图集\07海丰县“十四五”规划农村公路项目示意图.jpg"/>
                    <pic:cNvPicPr>
                      <a:picLocks noChangeAspect="1" noChangeArrowheads="1"/>
                    </pic:cNvPicPr>
                  </pic:nvPicPr>
                  <pic:blipFill>
                    <a:blip r:embed="rId20" cstate="hqprint"/>
                    <a:srcRect/>
                    <a:stretch>
                      <a:fillRect/>
                    </a:stretch>
                  </pic:blipFill>
                  <pic:spPr>
                    <a:xfrm>
                      <a:off x="0" y="0"/>
                      <a:ext cx="5400040" cy="3141345"/>
                    </a:xfrm>
                    <a:prstGeom prst="rect">
                      <a:avLst/>
                    </a:prstGeom>
                    <a:noFill/>
                    <a:ln w="6350">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图12 海丰县“十四五”规划农村公路项目示意图</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大力发展乡村旅游路。</w:t>
      </w:r>
      <w:r>
        <w:rPr>
          <w:rFonts w:hint="eastAsia" w:ascii="宋体" w:hAnsi="宋体" w:eastAsia="宋体" w:cs="宋体"/>
          <w:color w:val="000000"/>
          <w:sz w:val="24"/>
          <w:szCs w:val="32"/>
        </w:rPr>
        <w:t>以国省道旅游干线为主干，农村公路为次、支线，把“四好农村路”建设成为“旅游路”“产业路”“致富路”，全面提升旅游路网通达深度，增强旅游景区的便捷性、直达性，强化各旅游区之间的沟通联系，为打赢脱贫攻坚战与服务乡村振兴战略提供有力的交通运输支撑，打造海丰红色旅游新名片。</w:t>
      </w:r>
    </w:p>
    <w:tbl>
      <w:tblPr>
        <w:tblStyle w:val="5"/>
        <w:tblW w:w="850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504"/>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4"/>
                <w:szCs w:val="21"/>
              </w:rPr>
            </w:pPr>
            <w:r>
              <w:rPr>
                <w:rFonts w:hint="eastAsia" w:ascii="宋体" w:hAnsi="宋体" w:eastAsia="宋体" w:cs="宋体"/>
                <w:b/>
                <w:color w:val="auto"/>
                <w:sz w:val="24"/>
                <w:szCs w:val="21"/>
              </w:rPr>
              <w:t>专栏五：海丰县旅游公路规划</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vAlign w:val="center"/>
          </w:tcPr>
          <w:p>
            <w:pPr>
              <w:pStyle w:val="9"/>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（1）核心思路：</w:t>
            </w:r>
          </w:p>
          <w:p>
            <w:pPr>
              <w:pStyle w:val="9"/>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依托铁路、高等级公路等构建“快进”交通网络，提高海丰旅游的通达性和便捷性，实现游客远距离快速进出。建设满足“食住行游购娱”旅游体验的“游”交通网络，建设旅游风景道，结合沿线景观风貌和旅游资源，打造具有通达、游憩、体验、运动、文化、研学等复合功能的主题廊道，并根据需求增设自行车道、步道等慢行设施，整体构建“快进慢旅”的旅游交通网络，为加快全域旅游发展提供强有力的交通支撑。</w:t>
            </w:r>
          </w:p>
          <w:p>
            <w:pPr>
              <w:pStyle w:val="9"/>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（2）旅游公路规划：</w:t>
            </w:r>
          </w:p>
          <w:p>
            <w:pPr>
              <w:pStyle w:val="9"/>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疏通交通毛细血管，完善公路路网建设，提升美化G324与G236两大主交通干线；加快莲花大道的拓宽升级，打造海丰最美的旅游大道，同时对海银公路进行优化，强化大莲花山旅游区的交通联系；提升X126、S335，加强公平镇、平东镇、黄羌镇、黄羌林场等海丰东北地区的交通联系；提升S241、X129，加强可塘镇、赤坑镇、大湖镇等海丰东南地区的交通联系；提升X127、325乡道与梅场公路，加强联安镇、梅陇镇、梅陇农场等海丰西南地区的交通联系。推进农村公路硬底化的建设及旅游交通标识牌设置。在主要的旅游公路两旁进行林相改造，增设停车场、驿站及观景台等设施。</w:t>
            </w:r>
          </w:p>
          <w:p>
            <w:pPr>
              <w:pStyle w:val="9"/>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将海丽大道(S242)、莲花大道(X128)、海银公路、377乡道、梅场公路、X129(大湖镇段)、X126进行道路提升优化，打造为旅游公路，提升与大莲花山旅游区、鹿境清新水乡旅游区等景区间的通达度。</w:t>
            </w:r>
          </w:p>
          <w:p>
            <w:pPr>
              <w:pStyle w:val="9"/>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（3）旅游公共交通组织：</w:t>
            </w:r>
          </w:p>
          <w:p>
            <w:pPr>
              <w:pStyle w:val="9"/>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color w:val="auto"/>
                <w:sz w:val="24"/>
              </w:rPr>
            </w:pPr>
            <w:r>
              <w:rPr>
                <w:rFonts w:hint="eastAsia" w:ascii="宋体" w:hAnsi="宋体" w:eastAsia="宋体" w:cs="宋体"/>
                <w:color w:val="auto"/>
                <w:sz w:val="21"/>
                <w:szCs w:val="21"/>
              </w:rPr>
              <w:t>强化交通枢纽的集散作用，于汕尾高铁站、鲘门高铁站以及汕尾市其他区县主要汽车客运站，设立海丰旅游专线巴士、自驾车租赁点及旅游服务咨询点，在节假日增加往返班次，为游客提供购买景区门票、预订住宿、租车等一体化服务，实现区域交通枢纽中心-海丰县城-景区的快速直达。增加农村客运线路班次和站场，便盖全域，实现重点景区、镇场及农村的无缝衔接。配套旅游专线、景区直通车、摆渡车、自行车等工具，串联县城至各个重要旅游景区、景区至景区，解决最后一公里出行问题。</w:t>
            </w:r>
          </w:p>
        </w:tc>
      </w:tr>
    </w:tbl>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3.公路养护</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深化公路管理养护。</w:t>
      </w:r>
      <w:r>
        <w:rPr>
          <w:rFonts w:hint="eastAsia" w:ascii="宋体" w:hAnsi="宋体" w:eastAsia="宋体" w:cs="宋体"/>
          <w:color w:val="000000"/>
          <w:sz w:val="24"/>
          <w:szCs w:val="32"/>
        </w:rPr>
        <w:t>有序推进实施县、乡、村三级“路长制”，实现“县道县管、乡道乡管、村道村管”的分级管理体制。加强公路养护管理，为民众提供安全、畅通、美化的交通出行环境，大力推进危旧桥隐患整治，加速公路扩容提质、养护管理。“十四五”期间，推进落实</w:t>
      </w:r>
      <w:r>
        <w:rPr>
          <w:rFonts w:hint="eastAsia" w:ascii="宋体" w:hAnsi="宋体" w:eastAsia="宋体" w:cs="宋体"/>
          <w:color w:val="000000"/>
          <w:sz w:val="24"/>
          <w:szCs w:val="32"/>
          <w:u w:val="single"/>
        </w:rPr>
        <w:t>国道G228线雷公田路段边坡整治、G236线灾毁重建工程、海丰县危桥改造、整治修复工程、海丰县联安镇乡道Y302线圆优段公路损坏抢修复工程，</w:t>
      </w:r>
      <w:r>
        <w:rPr>
          <w:rFonts w:hint="eastAsia" w:ascii="宋体" w:hAnsi="宋体" w:eastAsia="宋体" w:cs="宋体"/>
          <w:color w:val="000000"/>
          <w:sz w:val="24"/>
          <w:szCs w:val="32"/>
        </w:rPr>
        <w:t>不断完善及养护道路交通基础设施，推进“建养一体”，打造美丽、畅通、安全的公路出行体验，同时为提升海丰运输服务质量做好基础准备。</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表10</w:t>
      </w:r>
      <w:r>
        <w:rPr>
          <w:rFonts w:hint="eastAsia" w:ascii="宋体" w:hAnsi="宋体" w:eastAsia="宋体" w:cs="宋体"/>
          <w:b/>
          <w:bCs/>
          <w:color w:val="000000"/>
          <w:sz w:val="21"/>
          <w:szCs w:val="21"/>
          <w:lang w:val="en-US" w:eastAsia="zh-CN"/>
        </w:rPr>
        <w:t xml:space="preserve">  </w:t>
      </w:r>
      <w:r>
        <w:rPr>
          <w:rFonts w:hint="eastAsia" w:ascii="宋体" w:hAnsi="宋体" w:eastAsia="宋体" w:cs="宋体"/>
          <w:b/>
          <w:bCs/>
          <w:color w:val="000000"/>
          <w:sz w:val="21"/>
          <w:szCs w:val="21"/>
        </w:rPr>
        <w:t>海丰县“十四五”重大交通基础设施建设项目表（公路安全提升及危旧桥改造）</w:t>
      </w:r>
    </w:p>
    <w:tbl>
      <w:tblPr>
        <w:tblStyle w:val="5"/>
        <w:tblW w:w="850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4334"/>
        <w:gridCol w:w="1082"/>
        <w:gridCol w:w="1352"/>
        <w:gridCol w:w="108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shd w:val="clear" w:color="auto" w:fill="D9D9D9"/>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2548" w:type="pct"/>
            <w:shd w:val="clear" w:color="auto" w:fill="D9D9D9"/>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项目名称</w:t>
            </w:r>
          </w:p>
        </w:tc>
        <w:tc>
          <w:tcPr>
            <w:tcW w:w="636" w:type="pct"/>
            <w:shd w:val="clear" w:color="auto" w:fill="D9D9D9"/>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建设规模</w:t>
            </w:r>
          </w:p>
        </w:tc>
        <w:tc>
          <w:tcPr>
            <w:tcW w:w="795" w:type="pct"/>
            <w:shd w:val="clear" w:color="auto" w:fill="D9D9D9"/>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十四五投资</w:t>
            </w:r>
          </w:p>
          <w:p>
            <w:pPr>
              <w:jc w:val="center"/>
              <w:rPr>
                <w:rFonts w:hint="eastAsia" w:ascii="宋体" w:hAnsi="宋体" w:eastAsia="宋体" w:cs="宋体"/>
                <w:b/>
                <w:sz w:val="21"/>
                <w:szCs w:val="21"/>
              </w:rPr>
            </w:pPr>
            <w:r>
              <w:rPr>
                <w:rFonts w:hint="eastAsia" w:ascii="宋体" w:hAnsi="宋体" w:eastAsia="宋体" w:cs="宋体"/>
                <w:b/>
                <w:sz w:val="21"/>
                <w:szCs w:val="21"/>
              </w:rPr>
              <w:t>（亿元）</w:t>
            </w:r>
          </w:p>
        </w:tc>
        <w:tc>
          <w:tcPr>
            <w:tcW w:w="636" w:type="pct"/>
            <w:shd w:val="clear" w:color="auto" w:fill="D9D9D9"/>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总投资</w:t>
            </w:r>
          </w:p>
          <w:p>
            <w:pPr>
              <w:jc w:val="center"/>
              <w:rPr>
                <w:rFonts w:hint="eastAsia" w:ascii="宋体" w:hAnsi="宋体" w:eastAsia="宋体" w:cs="宋体"/>
                <w:b/>
                <w:sz w:val="21"/>
                <w:szCs w:val="21"/>
              </w:rPr>
            </w:pPr>
            <w:r>
              <w:rPr>
                <w:rFonts w:hint="eastAsia" w:ascii="宋体" w:hAnsi="宋体" w:eastAsia="宋体" w:cs="宋体"/>
                <w:b/>
                <w:sz w:val="21"/>
                <w:szCs w:val="21"/>
              </w:rPr>
              <w:t>（亿元）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85" w:type="pct"/>
            <w:vAlign w:val="center"/>
          </w:tcPr>
          <w:p>
            <w:pPr>
              <w:jc w:val="center"/>
              <w:rPr>
                <w:rFonts w:hint="eastAsia" w:ascii="宋体" w:hAnsi="宋体" w:eastAsia="宋体" w:cs="宋体"/>
                <w:sz w:val="21"/>
                <w:szCs w:val="21"/>
              </w:rPr>
            </w:pPr>
          </w:p>
        </w:tc>
        <w:tc>
          <w:tcPr>
            <w:tcW w:w="2548" w:type="pct"/>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公路安全提升及危旧桥改造（共3项）</w:t>
            </w:r>
          </w:p>
        </w:tc>
        <w:tc>
          <w:tcPr>
            <w:tcW w:w="636" w:type="pct"/>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w:t>
            </w:r>
          </w:p>
        </w:tc>
        <w:tc>
          <w:tcPr>
            <w:tcW w:w="795" w:type="pct"/>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0.75</w:t>
            </w:r>
          </w:p>
        </w:tc>
        <w:tc>
          <w:tcPr>
            <w:tcW w:w="636" w:type="pct"/>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1.23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85"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2548" w:type="pct"/>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国道G228线雷公田路段边坡整治、G236线灾毁重建工程</w:t>
            </w:r>
          </w:p>
        </w:tc>
        <w:tc>
          <w:tcPr>
            <w:tcW w:w="636" w:type="pct"/>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w:t>
            </w:r>
          </w:p>
        </w:tc>
        <w:tc>
          <w:tcPr>
            <w:tcW w:w="795" w:type="pct"/>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0.18</w:t>
            </w:r>
          </w:p>
        </w:tc>
        <w:tc>
          <w:tcPr>
            <w:tcW w:w="636" w:type="pct"/>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0.18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85"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2</w:t>
            </w:r>
          </w:p>
        </w:tc>
        <w:tc>
          <w:tcPr>
            <w:tcW w:w="2548" w:type="pct"/>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海丰县危桥改造、整治修复工程</w:t>
            </w:r>
          </w:p>
        </w:tc>
        <w:tc>
          <w:tcPr>
            <w:tcW w:w="636" w:type="pct"/>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66座</w:t>
            </w:r>
          </w:p>
        </w:tc>
        <w:tc>
          <w:tcPr>
            <w:tcW w:w="795" w:type="pct"/>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0.56</w:t>
            </w:r>
          </w:p>
        </w:tc>
        <w:tc>
          <w:tcPr>
            <w:tcW w:w="636" w:type="pct"/>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85" w:type="pct"/>
            <w:vAlign w:val="center"/>
          </w:tcPr>
          <w:p>
            <w:pPr>
              <w:jc w:val="center"/>
              <w:rPr>
                <w:rFonts w:hint="eastAsia" w:ascii="宋体" w:hAnsi="宋体" w:eastAsia="宋体" w:cs="宋体"/>
                <w:sz w:val="21"/>
                <w:szCs w:val="21"/>
              </w:rPr>
            </w:pPr>
            <w:r>
              <w:rPr>
                <w:rFonts w:hint="eastAsia" w:ascii="宋体" w:hAnsi="宋体" w:eastAsia="宋体" w:cs="宋体"/>
                <w:sz w:val="21"/>
                <w:szCs w:val="21"/>
              </w:rPr>
              <w:t>3</w:t>
            </w:r>
          </w:p>
        </w:tc>
        <w:tc>
          <w:tcPr>
            <w:tcW w:w="2548" w:type="pct"/>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海丰县联安镇乡道Y302线圆优段公路损坏抢修复工程</w:t>
            </w:r>
          </w:p>
        </w:tc>
        <w:tc>
          <w:tcPr>
            <w:tcW w:w="636" w:type="pct"/>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1.3公里</w:t>
            </w:r>
          </w:p>
        </w:tc>
        <w:tc>
          <w:tcPr>
            <w:tcW w:w="795" w:type="pct"/>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0.01</w:t>
            </w:r>
          </w:p>
        </w:tc>
        <w:tc>
          <w:tcPr>
            <w:tcW w:w="636" w:type="pct"/>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0.01</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第二节</w:t>
      </w:r>
      <w:r>
        <w:rPr>
          <w:rFonts w:hint="eastAsia" w:ascii="宋体" w:hAnsi="宋体" w:eastAsia="宋体" w:cs="宋体"/>
          <w:color w:val="000000"/>
          <w:sz w:val="28"/>
          <w:szCs w:val="28"/>
          <w:lang w:val="en-US" w:eastAsia="zh-CN"/>
        </w:rPr>
        <w:t xml:space="preserve">  </w:t>
      </w:r>
      <w:r>
        <w:rPr>
          <w:rFonts w:hint="eastAsia" w:ascii="宋体" w:hAnsi="宋体" w:eastAsia="宋体" w:cs="宋体"/>
          <w:color w:val="000000"/>
          <w:sz w:val="28"/>
          <w:szCs w:val="28"/>
        </w:rPr>
        <w:t>建设无缝衔接的综合交通枢纽</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1.机场建设</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配合推进汕尾机场布局谋划。</w:t>
      </w:r>
      <w:r>
        <w:rPr>
          <w:rFonts w:hint="eastAsia" w:ascii="宋体" w:hAnsi="宋体" w:eastAsia="宋体" w:cs="宋体"/>
          <w:color w:val="000000"/>
          <w:sz w:val="24"/>
          <w:szCs w:val="32"/>
        </w:rPr>
        <w:t>根据《汕尾市国土空间规划（2020-2035年）》，规划汕尾机场于海丰东侧，初步选址规模约305公顷。“十四五”期间，积极配合上级部门推进汕尾机场谋划，加快机场选址工作，提前完善机场周边交通基础设施，规划地方道路与机场的衔接。未来结合汕梅高铁线位规划海丰站与汕尾机场组成空铁联运枢纽，助力海丰打造成为辐射粤东地区的物流中心。</w:t>
      </w:r>
    </w:p>
    <w:tbl>
      <w:tblPr>
        <w:tblStyle w:val="5"/>
        <w:tblW w:w="850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504"/>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4"/>
                <w:szCs w:val="21"/>
              </w:rPr>
            </w:pPr>
            <w:r>
              <w:rPr>
                <w:rFonts w:hint="eastAsia" w:ascii="宋体" w:hAnsi="宋体" w:eastAsia="宋体" w:cs="宋体"/>
                <w:b/>
                <w:color w:val="auto"/>
                <w:sz w:val="24"/>
                <w:szCs w:val="21"/>
              </w:rPr>
              <w:t>专栏六：汕尾机场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vAlign w:val="center"/>
          </w:tcPr>
          <w:p>
            <w:pPr>
              <w:pStyle w:val="9"/>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ascii="宋体" w:hAnsi="宋体" w:eastAsia="宋体" w:cs="宋体"/>
                <w:color w:val="auto"/>
                <w:sz w:val="24"/>
              </w:rPr>
            </w:pPr>
            <w:r>
              <w:rPr>
                <w:rFonts w:hint="eastAsia" w:ascii="宋体" w:hAnsi="宋体" w:eastAsia="宋体" w:cs="宋体"/>
                <w:color w:val="auto"/>
                <w:sz w:val="21"/>
                <w:szCs w:val="21"/>
              </w:rPr>
              <w:t>汕尾机场为4C级支线机场。开通航程为800~1500公里的国内航线，连通北京、上海、广州、武汉、长沙、成都等地区，已被列入《全国民用运输机场布局规划（2025年）》，是展望至2030年的三十八个机场之一，对打造粤东地区航空运输枢纽，推动汕尾市融入粤港澳大湾区核心城市“一小时经济圈”具有重要意义。</w:t>
            </w:r>
          </w:p>
        </w:tc>
      </w:tr>
    </w:tbl>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2.港口建设</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联动区域港航布局。</w:t>
      </w:r>
      <w:r>
        <w:rPr>
          <w:rFonts w:hint="eastAsia" w:ascii="宋体" w:hAnsi="宋体" w:eastAsia="宋体" w:cs="宋体"/>
          <w:color w:val="000000"/>
          <w:sz w:val="24"/>
          <w:szCs w:val="32"/>
        </w:rPr>
        <w:t>“十四五”期间，配合汕尾市完成海丰县小漠港区规划建设，并提前谋划联接港区的交通基础设施，完善港口集疏运体系，提升港口服务水平，推动海丰与深圳都市圈核心港口对接，深化港产联动、海陆联动，加速引导产业集聚，带动海洋经济发展，将海丰打造成为汕尾全面对接深圳都市圈的桥头堡。</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3.客运站场建设</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打造全域覆盖的客运枢纽体系。</w:t>
      </w:r>
      <w:r>
        <w:rPr>
          <w:rFonts w:hint="eastAsia" w:ascii="宋体" w:hAnsi="宋体" w:eastAsia="宋体" w:cs="宋体"/>
          <w:color w:val="000000"/>
          <w:sz w:val="24"/>
          <w:szCs w:val="32"/>
        </w:rPr>
        <w:t>“十四五”期间，围绕客运“便捷换乘、衔接顺畅”的目标，大力推进客运站场建设，构建多层级的客运枢纽体系。实现综合客运站场镇区全覆盖，满足各乡镇居民的日常出行需求，提高城乡出行公平性；同时，落实好新的海丰县公交专项规划，加快县城和农村公交站点（候车亭、临时站牌）建设步伐，提升交通运输整体效率和服务水平；其次，加强多功能的乡镇客运站-旅游集散中心建设，增加旅游客运线路的站场和班次，覆盖全域，实现重点景区、镇场和农村的无缝衔接，助力海丰打响红色旅游名片。</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4.货运站场建设</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构建衔接顺畅的货运枢纽体系。</w:t>
      </w:r>
      <w:r>
        <w:rPr>
          <w:rFonts w:hint="eastAsia" w:ascii="宋体" w:hAnsi="宋体" w:eastAsia="宋体" w:cs="宋体"/>
          <w:color w:val="000000"/>
          <w:sz w:val="24"/>
          <w:szCs w:val="32"/>
        </w:rPr>
        <w:t>围绕货运“无缝衔接”目标，结合产业布局、城乡规划和物流需求，统筹公路货运枢纽布局，进一步加强与产业集聚区等的有效对接，并鼓励传统货运场站向物流园区转型升级，构建衔接顺畅的货运枢纽体系。“十四五”期间，大力推进海丰县高速口物流综合服务站场建设，依托对外大通道加快海丰物流行业高质量发展。推动实施国道G324东西侧两个过境综合服务区建设，服务过境客货交通，提升海丰交通品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表11 海丰县“十四五”重大交通基础设施建设项目表（客货运枢纽及物流）</w:t>
      </w:r>
    </w:p>
    <w:tbl>
      <w:tblPr>
        <w:tblStyle w:val="5"/>
        <w:tblW w:w="850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4332"/>
        <w:gridCol w:w="1082"/>
        <w:gridCol w:w="1352"/>
        <w:gridCol w:w="108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6"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2547"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项目名称</w:t>
            </w:r>
          </w:p>
        </w:tc>
        <w:tc>
          <w:tcPr>
            <w:tcW w:w="636"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建设规模</w:t>
            </w:r>
          </w:p>
        </w:tc>
        <w:tc>
          <w:tcPr>
            <w:tcW w:w="795"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十四五投资</w:t>
            </w:r>
          </w:p>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（亿元）</w:t>
            </w:r>
          </w:p>
        </w:tc>
        <w:tc>
          <w:tcPr>
            <w:tcW w:w="636"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总投资</w:t>
            </w:r>
          </w:p>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（亿元）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86" w:type="pct"/>
            <w:vAlign w:val="center"/>
          </w:tcPr>
          <w:p>
            <w:pPr>
              <w:pStyle w:val="9"/>
              <w:spacing w:line="240" w:lineRule="auto"/>
              <w:ind w:firstLine="0" w:firstLineChars="0"/>
              <w:jc w:val="center"/>
              <w:rPr>
                <w:rFonts w:hint="eastAsia" w:ascii="宋体" w:hAnsi="宋体" w:eastAsia="宋体" w:cs="宋体"/>
                <w:color w:val="auto"/>
                <w:sz w:val="21"/>
                <w:szCs w:val="21"/>
              </w:rPr>
            </w:pPr>
          </w:p>
        </w:tc>
        <w:tc>
          <w:tcPr>
            <w:tcW w:w="2547"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b/>
                <w:color w:val="auto"/>
                <w:sz w:val="21"/>
                <w:szCs w:val="21"/>
              </w:rPr>
              <w:t>客货运枢纽及物流（共3项）</w:t>
            </w:r>
          </w:p>
        </w:tc>
        <w:tc>
          <w:tcPr>
            <w:tcW w:w="636"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2900亩</w:t>
            </w:r>
          </w:p>
        </w:tc>
        <w:tc>
          <w:tcPr>
            <w:tcW w:w="795"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3.20</w:t>
            </w:r>
          </w:p>
        </w:tc>
        <w:tc>
          <w:tcPr>
            <w:tcW w:w="636"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10.90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86"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547"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sz w:val="21"/>
                <w:szCs w:val="21"/>
              </w:rPr>
              <w:t>海丰县高速口物流综合服务站场</w:t>
            </w:r>
          </w:p>
        </w:tc>
        <w:tc>
          <w:tcPr>
            <w:tcW w:w="636"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2300亩</w:t>
            </w:r>
          </w:p>
        </w:tc>
        <w:tc>
          <w:tcPr>
            <w:tcW w:w="795"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3.00</w:t>
            </w:r>
          </w:p>
        </w:tc>
        <w:tc>
          <w:tcPr>
            <w:tcW w:w="636"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6.90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86"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547"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海丰县过境综合服务区（东片）</w:t>
            </w:r>
          </w:p>
        </w:tc>
        <w:tc>
          <w:tcPr>
            <w:tcW w:w="636"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300亩</w:t>
            </w:r>
          </w:p>
        </w:tc>
        <w:tc>
          <w:tcPr>
            <w:tcW w:w="79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0.10</w:t>
            </w:r>
          </w:p>
        </w:tc>
        <w:tc>
          <w:tcPr>
            <w:tcW w:w="636"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86"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547"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海丰县过境综合服务区（西片）</w:t>
            </w:r>
          </w:p>
        </w:tc>
        <w:tc>
          <w:tcPr>
            <w:tcW w:w="636"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300亩</w:t>
            </w:r>
          </w:p>
        </w:tc>
        <w:tc>
          <w:tcPr>
            <w:tcW w:w="79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0.10</w:t>
            </w:r>
          </w:p>
        </w:tc>
        <w:tc>
          <w:tcPr>
            <w:tcW w:w="636"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2.00</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szCs w:val="28"/>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4"/>
          <w:szCs w:val="32"/>
        </w:rPr>
      </w:pPr>
      <w:r>
        <w:rPr>
          <w:rFonts w:hint="eastAsia" w:ascii="宋体" w:hAnsi="宋体" w:eastAsia="宋体" w:cs="宋体"/>
          <w:szCs w:val="28"/>
        </w:rPr>
        <w:drawing>
          <wp:inline distT="0" distB="0" distL="0" distR="0">
            <wp:extent cx="5400040" cy="3225165"/>
            <wp:effectExtent l="9525" t="9525" r="19685" b="22860"/>
            <wp:docPr id="22" name="图片 22" descr="F:\——十四五综合交通规划\海丰县十四五规划\出图\海丰十四五图集\新图集\08海丰县“十四五”规划枢纽场站项目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十四五综合交通规划\海丰县十四五规划\出图\海丰十四五图集\新图集\08海丰县“十四五”规划枢纽场站项目示意图.jpg"/>
                    <pic:cNvPicPr>
                      <a:picLocks noChangeAspect="1" noChangeArrowheads="1"/>
                    </pic:cNvPicPr>
                  </pic:nvPicPr>
                  <pic:blipFill>
                    <a:blip r:embed="rId21" cstate="hqprint"/>
                    <a:srcRect/>
                    <a:stretch>
                      <a:fillRect/>
                    </a:stretch>
                  </pic:blipFill>
                  <pic:spPr>
                    <a:xfrm>
                      <a:off x="0" y="0"/>
                      <a:ext cx="5400040" cy="3225165"/>
                    </a:xfrm>
                    <a:prstGeom prst="rect">
                      <a:avLst/>
                    </a:prstGeom>
                    <a:noFill/>
                    <a:ln w="6350">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图13 海丰县“十四五”规划枢纽站场项目示意图</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5.停车场建设</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打造布局科学的停车设施系统。</w:t>
      </w:r>
      <w:r>
        <w:rPr>
          <w:rFonts w:hint="eastAsia" w:ascii="宋体" w:hAnsi="宋体" w:eastAsia="宋体" w:cs="宋体"/>
          <w:color w:val="000000"/>
          <w:sz w:val="24"/>
          <w:szCs w:val="32"/>
        </w:rPr>
        <w:t>以适度满足基本停车需求、从严控制出行停车需求为根本，分区、分类控制停车位总量供给规模，从土地供给、产业化发展等方面着手，高效优化存量、精准扩大增量，优化停车配建标准、强化停车用地控制，建立规模适当、布局科学、动静平衡、高效有序的停车设施系统，逐步缓解停车供需矛盾，形成与海丰县城市发展特征相协调、公交优先战略相适应的可持续、产业化停车模式，促进海丰县停车资源高效利用与有序发展。“十四五”期间，重点结合国道G324东西片两个过境综合服务区，建设配套公共停车场，服务过境车辆，缓解周边地区停车压力，提升交通运行效率。</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 xml:space="preserve">表12 </w:t>
      </w:r>
      <w:r>
        <w:rPr>
          <w:rFonts w:hint="eastAsia" w:ascii="宋体" w:hAnsi="宋体" w:eastAsia="宋体" w:cs="宋体"/>
          <w:b/>
          <w:bCs/>
          <w:color w:val="000000"/>
          <w:sz w:val="21"/>
          <w:szCs w:val="21"/>
          <w:lang w:val="en-US" w:eastAsia="zh-CN"/>
        </w:rPr>
        <w:t xml:space="preserve">  </w:t>
      </w:r>
      <w:r>
        <w:rPr>
          <w:rFonts w:hint="eastAsia" w:ascii="宋体" w:hAnsi="宋体" w:eastAsia="宋体" w:cs="宋体"/>
          <w:b/>
          <w:bCs/>
          <w:color w:val="000000"/>
          <w:sz w:val="21"/>
          <w:szCs w:val="21"/>
        </w:rPr>
        <w:t>海丰县国道G324过境综合服务区配套停车场建设标准</w:t>
      </w:r>
    </w:p>
    <w:tbl>
      <w:tblPr>
        <w:tblStyle w:val="5"/>
        <w:tblW w:w="850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4332"/>
        <w:gridCol w:w="1082"/>
        <w:gridCol w:w="1352"/>
        <w:gridCol w:w="108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6"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2547"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项目名称</w:t>
            </w:r>
          </w:p>
        </w:tc>
        <w:tc>
          <w:tcPr>
            <w:tcW w:w="636"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建设规模</w:t>
            </w:r>
          </w:p>
        </w:tc>
        <w:tc>
          <w:tcPr>
            <w:tcW w:w="795"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建设形式</w:t>
            </w:r>
          </w:p>
        </w:tc>
        <w:tc>
          <w:tcPr>
            <w:tcW w:w="636"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泊位数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86" w:type="pct"/>
            <w:vAlign w:val="center"/>
          </w:tcPr>
          <w:p>
            <w:pPr>
              <w:pStyle w:val="9"/>
              <w:spacing w:line="240" w:lineRule="auto"/>
              <w:ind w:firstLine="0" w:firstLineChars="0"/>
              <w:jc w:val="center"/>
              <w:rPr>
                <w:rFonts w:hint="eastAsia" w:ascii="宋体" w:hAnsi="宋体" w:eastAsia="宋体" w:cs="宋体"/>
                <w:color w:val="auto"/>
                <w:sz w:val="21"/>
                <w:szCs w:val="21"/>
              </w:rPr>
            </w:pPr>
          </w:p>
        </w:tc>
        <w:tc>
          <w:tcPr>
            <w:tcW w:w="2547"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b/>
                <w:color w:val="auto"/>
                <w:sz w:val="21"/>
                <w:szCs w:val="21"/>
              </w:rPr>
              <w:t>过境综合服务区配套停车场（共2项）</w:t>
            </w:r>
          </w:p>
        </w:tc>
        <w:tc>
          <w:tcPr>
            <w:tcW w:w="636"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16000㎡</w:t>
            </w:r>
          </w:p>
        </w:tc>
        <w:tc>
          <w:tcPr>
            <w:tcW w:w="795"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636"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400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86"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547"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海丰县过境综合服务区配套停车场（东片）</w:t>
            </w:r>
          </w:p>
        </w:tc>
        <w:tc>
          <w:tcPr>
            <w:tcW w:w="636"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8000㎡</w:t>
            </w:r>
          </w:p>
        </w:tc>
        <w:tc>
          <w:tcPr>
            <w:tcW w:w="79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新建</w:t>
            </w:r>
          </w:p>
        </w:tc>
        <w:tc>
          <w:tcPr>
            <w:tcW w:w="636"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86"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547"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海丰县过境综合服务区配套停车场（西片）</w:t>
            </w:r>
          </w:p>
        </w:tc>
        <w:tc>
          <w:tcPr>
            <w:tcW w:w="636" w:type="pct"/>
            <w:vAlign w:val="center"/>
          </w:tcPr>
          <w:p>
            <w:pPr>
              <w:pStyle w:val="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8000㎡</w:t>
            </w:r>
          </w:p>
        </w:tc>
        <w:tc>
          <w:tcPr>
            <w:tcW w:w="795"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新建</w:t>
            </w:r>
          </w:p>
        </w:tc>
        <w:tc>
          <w:tcPr>
            <w:tcW w:w="636" w:type="pct"/>
            <w:vAlign w:val="center"/>
          </w:tcPr>
          <w:p>
            <w:pPr>
              <w:pStyle w:val="9"/>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200</w:t>
            </w:r>
          </w:p>
        </w:tc>
      </w:tr>
    </w:tbl>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Cs w:val="28"/>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000000"/>
          <w:sz w:val="24"/>
          <w:szCs w:val="32"/>
        </w:rPr>
      </w:pPr>
      <w:r>
        <w:rPr>
          <w:rFonts w:hint="eastAsia" w:ascii="宋体" w:hAnsi="宋体" w:eastAsia="宋体" w:cs="宋体"/>
          <w:szCs w:val="28"/>
        </w:rPr>
        <w:drawing>
          <wp:inline distT="0" distB="0" distL="0" distR="0">
            <wp:extent cx="5400040" cy="3444240"/>
            <wp:effectExtent l="9525" t="9525" r="19685" b="13335"/>
            <wp:docPr id="9327445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44578"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400040" cy="3444240"/>
                    </a:xfrm>
                    <a:prstGeom prst="rect">
                      <a:avLst/>
                    </a:prstGeom>
                    <a:noFill/>
                    <a:ln w="6350">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图14</w:t>
      </w:r>
      <w:r>
        <w:rPr>
          <w:rFonts w:hint="eastAsia" w:ascii="宋体" w:hAnsi="宋体" w:eastAsia="宋体" w:cs="宋体"/>
          <w:b/>
          <w:bCs/>
          <w:color w:val="000000"/>
          <w:sz w:val="21"/>
          <w:szCs w:val="21"/>
          <w:lang w:val="en-US" w:eastAsia="zh-CN"/>
        </w:rPr>
        <w:t xml:space="preserve">  </w:t>
      </w:r>
      <w:r>
        <w:rPr>
          <w:rFonts w:hint="eastAsia" w:ascii="宋体" w:hAnsi="宋体" w:eastAsia="宋体" w:cs="宋体"/>
          <w:b/>
          <w:bCs/>
          <w:color w:val="000000"/>
          <w:sz w:val="21"/>
          <w:szCs w:val="21"/>
        </w:rPr>
        <w:t>海丰县国道G324过境综合服务区配套停车场示意图</w:t>
      </w:r>
    </w:p>
    <w:p>
      <w:pPr>
        <w:rPr>
          <w:rFonts w:hint="eastAsia" w:ascii="宋体" w:hAnsi="宋体" w:eastAsia="宋体" w:cs="宋体"/>
          <w:b/>
          <w:bCs/>
          <w:color w:val="000000"/>
          <w:sz w:val="21"/>
          <w:szCs w:val="21"/>
        </w:rPr>
      </w:pPr>
      <w:r>
        <w:rPr>
          <w:rFonts w:hint="eastAsia" w:ascii="宋体" w:hAnsi="宋体" w:eastAsia="宋体" w:cs="宋体"/>
          <w:b/>
          <w:bCs/>
          <w:color w:val="000000"/>
          <w:sz w:val="21"/>
          <w:szCs w:val="21"/>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000000"/>
          <w:sz w:val="44"/>
          <w:szCs w:val="44"/>
        </w:rPr>
      </w:pPr>
      <w:r>
        <w:rPr>
          <w:rFonts w:hint="eastAsia" w:ascii="宋体" w:hAnsi="宋体" w:eastAsia="宋体" w:cs="宋体"/>
          <w:color w:val="000000"/>
          <w:sz w:val="44"/>
          <w:szCs w:val="44"/>
        </w:rPr>
        <w:t>第五章</w:t>
      </w:r>
      <w:r>
        <w:rPr>
          <w:rFonts w:hint="eastAsia" w:ascii="宋体" w:hAnsi="宋体" w:eastAsia="宋体" w:cs="宋体"/>
          <w:color w:val="000000"/>
          <w:sz w:val="44"/>
          <w:szCs w:val="44"/>
          <w:lang w:val="en-US" w:eastAsia="zh-CN"/>
        </w:rPr>
        <w:t xml:space="preserve">  </w:t>
      </w:r>
      <w:r>
        <w:rPr>
          <w:rFonts w:hint="eastAsia" w:ascii="宋体" w:hAnsi="宋体" w:eastAsia="宋体" w:cs="宋体"/>
          <w:color w:val="000000"/>
          <w:sz w:val="44"/>
          <w:szCs w:val="44"/>
        </w:rPr>
        <w:t>打造高品质运输服务体系</w:t>
      </w:r>
    </w:p>
    <w:p>
      <w:pPr>
        <w:keepNext w:val="0"/>
        <w:keepLines w:val="0"/>
        <w:pageBreakBefore w:val="0"/>
        <w:widowControl w:val="0"/>
        <w:kinsoku/>
        <w:wordWrap/>
        <w:overflowPunct/>
        <w:topLinePunct w:val="0"/>
        <w:autoSpaceDE/>
        <w:autoSpaceDN/>
        <w:bidi w:val="0"/>
        <w:adjustRightInd/>
        <w:snapToGrid/>
        <w:spacing w:before="157" w:beforeLines="50" w:after="157" w:afterLines="50" w:line="540" w:lineRule="exact"/>
        <w:ind w:left="0" w:leftChars="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第一节</w:t>
      </w:r>
      <w:r>
        <w:rPr>
          <w:rFonts w:hint="eastAsia" w:ascii="宋体" w:hAnsi="宋体" w:eastAsia="宋体" w:cs="宋体"/>
          <w:color w:val="000000"/>
          <w:sz w:val="28"/>
          <w:szCs w:val="28"/>
          <w:lang w:val="en-US" w:eastAsia="zh-CN"/>
        </w:rPr>
        <w:t xml:space="preserve">  </w:t>
      </w:r>
      <w:r>
        <w:rPr>
          <w:rFonts w:hint="eastAsia" w:ascii="宋体" w:hAnsi="宋体" w:eastAsia="宋体" w:cs="宋体"/>
          <w:color w:val="000000"/>
          <w:sz w:val="28"/>
          <w:szCs w:val="28"/>
        </w:rPr>
        <w:t>打造集约高效的现代物流体系</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1.完善物流节点布局，引领全县物流发展</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推动海丰物流节点建设，打造“1+1+2”的物流节点布局，即一个物流基地、一个物流中心、两个配送中心，强化与枢纽、铁路、高等级公路等之间的连接，加快赤坑物流基地、海丰县物流中心、公平镇配送中心、深汕合作区拓展区配送中心的建设，分层次提供物流服务。形成衔接省内，覆盖全市，深入全县的物流服务体系，积极参与到大湾区、粤东、闽西、赣南等地区的物流合作，同时注重市域内主要城镇、产业园的物资集散服务与城乡物流配送服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表13</w:t>
      </w:r>
      <w:r>
        <w:rPr>
          <w:rFonts w:hint="eastAsia" w:ascii="宋体" w:hAnsi="宋体" w:eastAsia="宋体" w:cs="宋体"/>
          <w:b/>
          <w:bCs/>
          <w:color w:val="000000"/>
          <w:sz w:val="21"/>
          <w:szCs w:val="21"/>
          <w:lang w:val="en-US" w:eastAsia="zh-CN"/>
        </w:rPr>
        <w:t xml:space="preserve">  </w:t>
      </w:r>
      <w:r>
        <w:rPr>
          <w:rFonts w:hint="eastAsia" w:ascii="宋体" w:hAnsi="宋体" w:eastAsia="宋体" w:cs="宋体"/>
          <w:b/>
          <w:bCs/>
          <w:color w:val="000000"/>
          <w:sz w:val="21"/>
          <w:szCs w:val="21"/>
        </w:rPr>
        <w:t>海丰县物流节点布局一览表</w:t>
      </w:r>
    </w:p>
    <w:tbl>
      <w:tblPr>
        <w:tblStyle w:val="5"/>
        <w:tblW w:w="850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787"/>
        <w:gridCol w:w="1635"/>
        <w:gridCol w:w="960"/>
        <w:gridCol w:w="297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723" w:type="pct"/>
            <w:gridSpan w:val="2"/>
            <w:shd w:val="clear" w:color="auto" w:fill="D9D9D9"/>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物流节点</w:t>
            </w:r>
          </w:p>
        </w:tc>
        <w:tc>
          <w:tcPr>
            <w:tcW w:w="961" w:type="pct"/>
            <w:vMerge w:val="restart"/>
            <w:shd w:val="clear" w:color="auto" w:fill="D9D9D9"/>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位置</w:t>
            </w:r>
          </w:p>
        </w:tc>
        <w:tc>
          <w:tcPr>
            <w:tcW w:w="564" w:type="pct"/>
            <w:vMerge w:val="restart"/>
            <w:shd w:val="clear" w:color="auto" w:fill="D9D9D9"/>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面积</w:t>
            </w:r>
          </w:p>
          <w:p>
            <w:pPr>
              <w:jc w:val="center"/>
              <w:rPr>
                <w:rFonts w:hint="eastAsia" w:ascii="宋体" w:hAnsi="宋体" w:eastAsia="宋体" w:cs="宋体"/>
                <w:b/>
                <w:sz w:val="21"/>
                <w:szCs w:val="21"/>
              </w:rPr>
            </w:pPr>
            <w:r>
              <w:rPr>
                <w:rFonts w:hint="eastAsia" w:ascii="宋体" w:hAnsi="宋体" w:eastAsia="宋体" w:cs="宋体"/>
                <w:b/>
                <w:sz w:val="21"/>
                <w:szCs w:val="21"/>
              </w:rPr>
              <w:t>（公顷）</w:t>
            </w:r>
          </w:p>
        </w:tc>
        <w:tc>
          <w:tcPr>
            <w:tcW w:w="1750" w:type="pct"/>
            <w:vMerge w:val="restart"/>
            <w:shd w:val="clear" w:color="auto" w:fill="D9D9D9"/>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功能定位</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73" w:type="pct"/>
            <w:shd w:val="clear" w:color="auto" w:fill="D9D9D9"/>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类型</w:t>
            </w:r>
          </w:p>
        </w:tc>
        <w:tc>
          <w:tcPr>
            <w:tcW w:w="1050" w:type="pct"/>
            <w:shd w:val="clear" w:color="auto" w:fill="D9D9D9"/>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名称</w:t>
            </w:r>
          </w:p>
        </w:tc>
        <w:tc>
          <w:tcPr>
            <w:tcW w:w="961" w:type="pct"/>
            <w:vMerge w:val="continue"/>
            <w:shd w:val="clear" w:color="auto" w:fill="D9D9D9"/>
            <w:vAlign w:val="center"/>
          </w:tcPr>
          <w:p>
            <w:pPr>
              <w:jc w:val="center"/>
              <w:rPr>
                <w:rFonts w:hint="eastAsia" w:ascii="宋体" w:hAnsi="宋体" w:eastAsia="宋体" w:cs="宋体"/>
                <w:b/>
                <w:sz w:val="21"/>
                <w:szCs w:val="21"/>
              </w:rPr>
            </w:pPr>
          </w:p>
        </w:tc>
        <w:tc>
          <w:tcPr>
            <w:tcW w:w="564" w:type="pct"/>
            <w:vMerge w:val="continue"/>
            <w:shd w:val="clear" w:color="auto" w:fill="D9D9D9"/>
            <w:vAlign w:val="center"/>
          </w:tcPr>
          <w:p>
            <w:pPr>
              <w:jc w:val="center"/>
              <w:rPr>
                <w:rFonts w:hint="eastAsia" w:ascii="宋体" w:hAnsi="宋体" w:eastAsia="宋体" w:cs="宋体"/>
                <w:b/>
                <w:sz w:val="21"/>
                <w:szCs w:val="21"/>
              </w:rPr>
            </w:pPr>
          </w:p>
        </w:tc>
        <w:tc>
          <w:tcPr>
            <w:tcW w:w="1750" w:type="pct"/>
            <w:vMerge w:val="continue"/>
            <w:shd w:val="clear" w:color="auto" w:fill="D9D9D9"/>
            <w:vAlign w:val="center"/>
          </w:tcPr>
          <w:p>
            <w:pPr>
              <w:jc w:val="center"/>
              <w:rPr>
                <w:rFonts w:hint="eastAsia" w:ascii="宋体" w:hAnsi="宋体" w:eastAsia="宋体" w:cs="宋体"/>
                <w:b/>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物流基地</w:t>
            </w:r>
          </w:p>
        </w:tc>
        <w:tc>
          <w:tcPr>
            <w:tcW w:w="1050"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赤坑物流基地</w:t>
            </w:r>
          </w:p>
        </w:tc>
        <w:tc>
          <w:tcPr>
            <w:tcW w:w="961"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龙汕铁路赤坑站及兴汕高速出入口周边</w:t>
            </w:r>
          </w:p>
        </w:tc>
        <w:tc>
          <w:tcPr>
            <w:tcW w:w="564"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150</w:t>
            </w:r>
          </w:p>
        </w:tc>
        <w:tc>
          <w:tcPr>
            <w:tcW w:w="1750"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与汕尾新港开展铁港联运，以油气、能源、矿石等大宗散杂货物流服务为主要职能，兼顾保税物流（无水港）、物流加工、区域期货交易平台的交割服务、集装箱储运等功能，结合商贸物流，以“互联网+”为导向积极打造区域大宗商品交易平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物流中心</w:t>
            </w:r>
          </w:p>
        </w:tc>
        <w:tc>
          <w:tcPr>
            <w:tcW w:w="1050"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海丰县物流中心</w:t>
            </w:r>
          </w:p>
        </w:tc>
        <w:tc>
          <w:tcPr>
            <w:tcW w:w="961"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海丰县城</w:t>
            </w:r>
          </w:p>
        </w:tc>
        <w:tc>
          <w:tcPr>
            <w:tcW w:w="564"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90</w:t>
            </w:r>
          </w:p>
        </w:tc>
        <w:tc>
          <w:tcPr>
            <w:tcW w:w="1750"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服务于海丰县城、周边城镇及海丰产业转移工业园、生态科技城等的综合服务型物流中心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配送中心</w:t>
            </w:r>
          </w:p>
        </w:tc>
        <w:tc>
          <w:tcPr>
            <w:tcW w:w="1050"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深汕合作区拓展区配送中心</w:t>
            </w:r>
          </w:p>
        </w:tc>
        <w:tc>
          <w:tcPr>
            <w:tcW w:w="961"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海丰县梅陇镇</w:t>
            </w:r>
          </w:p>
        </w:tc>
        <w:tc>
          <w:tcPr>
            <w:tcW w:w="564"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35</w:t>
            </w:r>
          </w:p>
        </w:tc>
        <w:tc>
          <w:tcPr>
            <w:tcW w:w="1750"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服务于深汕合作区、梅陇镇及其周边城乡地区的综合型配送中心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p>
        </w:tc>
        <w:tc>
          <w:tcPr>
            <w:tcW w:w="1050"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公平镇配送中心</w:t>
            </w:r>
          </w:p>
        </w:tc>
        <w:tc>
          <w:tcPr>
            <w:tcW w:w="961"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海丰县公平镇</w:t>
            </w:r>
          </w:p>
        </w:tc>
        <w:tc>
          <w:tcPr>
            <w:tcW w:w="564"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5</w:t>
            </w:r>
          </w:p>
        </w:tc>
        <w:tc>
          <w:tcPr>
            <w:tcW w:w="1750"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服务于公平镇（包括公平产业集聚区）及其周边城镇的综合型配送中心</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4"/>
          <w:szCs w:val="32"/>
        </w:rPr>
      </w:pPr>
      <w:r>
        <w:rPr>
          <w:rFonts w:hint="eastAsia" w:ascii="宋体" w:hAnsi="宋体" w:eastAsia="宋体" w:cs="宋体"/>
        </w:rPr>
        <w:drawing>
          <wp:inline distT="0" distB="0" distL="0" distR="0">
            <wp:extent cx="5400040" cy="3598545"/>
            <wp:effectExtent l="9525" t="9525" r="19685"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a:stretch>
                      <a:fillRect/>
                    </a:stretch>
                  </pic:blipFill>
                  <pic:spPr>
                    <a:xfrm>
                      <a:off x="0" y="0"/>
                      <a:ext cx="5400040" cy="3598545"/>
                    </a:xfrm>
                    <a:prstGeom prst="rect">
                      <a:avLst/>
                    </a:prstGeom>
                    <a:ln w="6350">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图15</w:t>
      </w:r>
      <w:r>
        <w:rPr>
          <w:rFonts w:hint="eastAsia" w:ascii="宋体" w:hAnsi="宋体" w:eastAsia="宋体" w:cs="宋体"/>
          <w:b/>
          <w:bCs/>
          <w:color w:val="000000"/>
          <w:sz w:val="21"/>
          <w:szCs w:val="21"/>
          <w:lang w:val="en-US" w:eastAsia="zh-CN"/>
        </w:rPr>
        <w:t xml:space="preserve">  </w:t>
      </w:r>
      <w:r>
        <w:rPr>
          <w:rFonts w:hint="eastAsia" w:ascii="宋体" w:hAnsi="宋体" w:eastAsia="宋体" w:cs="宋体"/>
          <w:b/>
          <w:bCs/>
          <w:color w:val="000000"/>
          <w:sz w:val="21"/>
          <w:szCs w:val="21"/>
        </w:rPr>
        <w:t>海丰县“1+1+2”物流节点规划布局示意图</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2.提高城乡物流服务能力</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深化“交邮结合”，推进“快递进村”，加快农村物流建设，完善县、乡、村三级物流节点体系。支持快递、邮政深入合作，共同打造物流集散中心，共建共用，共享运力，实现物流功能叠加。探索与农村客运的合作模式，利用已有的客运场站、超市等因地制宜地开展“多站合一”物流服务，保障农村物流“最后一公里”的实现，推动农产品的“上行”与城市工业产品的“下行”。支持发展农村电商，借助网络销售平台，增强农村物流服务的供给，并培养优势电商企业，设立电商服务站，提高农村物流服务的直接通达和覆盖能力。</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第二节</w:t>
      </w:r>
      <w:r>
        <w:rPr>
          <w:rFonts w:hint="eastAsia" w:ascii="宋体" w:hAnsi="宋体" w:eastAsia="宋体" w:cs="宋体"/>
          <w:color w:val="000000"/>
          <w:sz w:val="28"/>
          <w:szCs w:val="28"/>
          <w:lang w:val="en-US" w:eastAsia="zh-CN"/>
        </w:rPr>
        <w:t xml:space="preserve">  </w:t>
      </w:r>
      <w:r>
        <w:rPr>
          <w:rFonts w:hint="eastAsia" w:ascii="宋体" w:hAnsi="宋体" w:eastAsia="宋体" w:cs="宋体"/>
          <w:color w:val="000000"/>
          <w:sz w:val="28"/>
          <w:szCs w:val="28"/>
        </w:rPr>
        <w:t>打造覆盖广泛的公共交通体系</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1.完善公共交通服务网络</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十四五”期间，加速构筑完善的新型城镇化公共交通体系，在已开通汕尾火车站公交线路的基础上，争取开通鲘门站公交线路。整合县城公交与乡镇客运线路资源，加强公交线路与县城中心各重要组团的衔接，实现对城区的全覆盖，对重点镇的辐射，对乡村的连接，并最终形成“1+6+N”的公交网络体系。整合重复线路，缩短班次时间间隔，增加发车频次，提高载客运输效率，根据民众的实际需求，推进公交专用道的建设，打造以人为本、公交优先的公共交通出行环境。推进实施海丰县公交专项规划，加快县城和农村公交站点（候车亭、临时站牌）建设步伐，指导相关公交公司进一步优化公交线路，逐步完善城乡公交客运网络。</w:t>
      </w:r>
    </w:p>
    <w:tbl>
      <w:tblPr>
        <w:tblStyle w:val="6"/>
        <w:tblW w:w="8504" w:type="dxa"/>
        <w:jc w:val="center"/>
        <w:tblBorders>
          <w:top w:val="double" w:color="auto" w:sz="4" w:space="0"/>
          <w:left w:val="double" w:color="auto" w:sz="4" w:space="0"/>
          <w:bottom w:val="double" w:color="auto" w:sz="4" w:space="0"/>
          <w:right w:val="double" w:color="auto" w:sz="4" w:space="0"/>
          <w:insideH w:val="single" w:color="auto" w:sz="4" w:space="0"/>
          <w:insideV w:val="double" w:color="auto" w:sz="4" w:space="0"/>
        </w:tblBorders>
        <w:tblLayout w:type="autofit"/>
        <w:tblCellMar>
          <w:top w:w="0" w:type="dxa"/>
          <w:left w:w="108" w:type="dxa"/>
          <w:bottom w:w="0" w:type="dxa"/>
          <w:right w:w="108" w:type="dxa"/>
        </w:tblCellMar>
      </w:tblPr>
      <w:tblGrid>
        <w:gridCol w:w="8504"/>
      </w:tblGrid>
      <w:tr>
        <w:tblPrEx>
          <w:tblBorders>
            <w:top w:val="double" w:color="auto" w:sz="4" w:space="0"/>
            <w:left w:val="double" w:color="auto" w:sz="4" w:space="0"/>
            <w:bottom w:val="double" w:color="auto" w:sz="4" w:space="0"/>
            <w:right w:val="double" w:color="auto" w:sz="4" w:space="0"/>
            <w:insideH w:val="single" w:color="auto" w:sz="4" w:space="0"/>
            <w:insideV w:val="double" w:color="auto" w:sz="4" w:space="0"/>
          </w:tblBorders>
          <w:tblCellMar>
            <w:top w:w="0" w:type="dxa"/>
            <w:left w:w="108" w:type="dxa"/>
            <w:bottom w:w="0" w:type="dxa"/>
            <w:right w:w="108" w:type="dxa"/>
          </w:tblCellMar>
        </w:tblPrEx>
        <w:trPr>
          <w:trHeight w:val="407" w:hRule="atLeast"/>
          <w:jc w:val="center"/>
        </w:trPr>
        <w:tc>
          <w:tcPr>
            <w:tcW w:w="9040" w:type="dxa"/>
            <w:shd w:val="clear" w:color="auto" w:fill="D8D8D8" w:themeFill="background1" w:themeFillShade="D9"/>
            <w:vAlign w:val="center"/>
          </w:tcPr>
          <w:p>
            <w:pPr>
              <w:jc w:val="center"/>
              <w:rPr>
                <w:rFonts w:hint="eastAsia" w:ascii="宋体" w:hAnsi="宋体" w:eastAsia="宋体" w:cs="宋体"/>
                <w:b/>
                <w:bCs/>
                <w:szCs w:val="24"/>
              </w:rPr>
            </w:pPr>
            <w:r>
              <w:rPr>
                <w:rFonts w:hint="eastAsia" w:ascii="宋体" w:hAnsi="宋体" w:eastAsia="宋体" w:cs="宋体"/>
                <w:b/>
                <w:bCs/>
                <w:sz w:val="24"/>
                <w:szCs w:val="24"/>
              </w:rPr>
              <w:t>专栏七：海丰县公交专项规划</w:t>
            </w:r>
          </w:p>
        </w:tc>
      </w:tr>
      <w:tr>
        <w:tblPrEx>
          <w:tblBorders>
            <w:top w:val="double" w:color="auto" w:sz="4" w:space="0"/>
            <w:left w:val="double" w:color="auto" w:sz="4" w:space="0"/>
            <w:bottom w:val="double" w:color="auto" w:sz="4" w:space="0"/>
            <w:right w:val="double" w:color="auto" w:sz="4" w:space="0"/>
            <w:insideH w:val="single" w:color="auto" w:sz="4" w:space="0"/>
            <w:insideV w:val="double" w:color="auto" w:sz="4" w:space="0"/>
          </w:tblBorders>
          <w:tblCellMar>
            <w:top w:w="0" w:type="dxa"/>
            <w:left w:w="108" w:type="dxa"/>
            <w:bottom w:w="0" w:type="dxa"/>
            <w:right w:w="108" w:type="dxa"/>
          </w:tblCellMar>
        </w:tblPrEx>
        <w:trPr>
          <w:jc w:val="center"/>
        </w:trPr>
        <w:tc>
          <w:tcPr>
            <w:tcW w:w="9040" w:type="dxa"/>
            <w:vAlign w:val="top"/>
          </w:tcPr>
          <w:p>
            <w:pPr>
              <w:keepNext w:val="0"/>
              <w:keepLines w:val="0"/>
              <w:pageBreakBefore w:val="0"/>
              <w:widowControl w:val="0"/>
              <w:kinsoku/>
              <w:wordWrap/>
              <w:overflowPunct/>
              <w:topLinePunct w:val="0"/>
              <w:autoSpaceDE/>
              <w:autoSpaceDN/>
              <w:bidi w:val="0"/>
              <w:adjustRightInd/>
              <w:snapToGrid/>
              <w:spacing w:line="460" w:lineRule="exact"/>
              <w:ind w:firstLine="422" w:firstLineChars="200"/>
              <w:textAlignment w:val="auto"/>
              <w:rPr>
                <w:rFonts w:hint="eastAsia" w:ascii="宋体" w:hAnsi="宋体" w:eastAsia="宋体" w:cs="宋体"/>
                <w:b/>
                <w:bCs/>
                <w:szCs w:val="24"/>
              </w:rPr>
            </w:pPr>
            <w:r>
              <w:rPr>
                <w:rFonts w:hint="eastAsia" w:ascii="宋体" w:hAnsi="宋体" w:eastAsia="宋体" w:cs="宋体"/>
                <w:b/>
                <w:bCs/>
                <w:szCs w:val="24"/>
              </w:rPr>
              <w:t>一、规划目标</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szCs w:val="24"/>
              </w:rPr>
            </w:pPr>
            <w:r>
              <w:rPr>
                <w:rFonts w:hint="eastAsia" w:ascii="宋体" w:hAnsi="宋体" w:eastAsia="宋体" w:cs="宋体"/>
                <w:szCs w:val="24"/>
              </w:rPr>
              <w:t>构建与海丰县城发展相适应，全面覆盖县城中心，辐射周边重点镇区，兼顾其他一般镇区的三级公交网络体系，实现县城中心50公里范围内均等化公交服务，打造安全、高效、便捷的公交服务体系。</w:t>
            </w:r>
          </w:p>
          <w:p>
            <w:pPr>
              <w:keepNext w:val="0"/>
              <w:keepLines w:val="0"/>
              <w:pageBreakBefore w:val="0"/>
              <w:widowControl w:val="0"/>
              <w:kinsoku/>
              <w:wordWrap/>
              <w:overflowPunct/>
              <w:topLinePunct w:val="0"/>
              <w:autoSpaceDE/>
              <w:autoSpaceDN/>
              <w:bidi w:val="0"/>
              <w:adjustRightInd/>
              <w:snapToGrid/>
              <w:spacing w:line="460" w:lineRule="exact"/>
              <w:ind w:firstLine="422" w:firstLineChars="200"/>
              <w:textAlignment w:val="auto"/>
              <w:rPr>
                <w:rFonts w:hint="eastAsia" w:ascii="宋体" w:hAnsi="宋体" w:eastAsia="宋体" w:cs="宋体"/>
                <w:b/>
                <w:bCs/>
                <w:szCs w:val="24"/>
              </w:rPr>
            </w:pPr>
            <w:r>
              <w:rPr>
                <w:rFonts w:hint="eastAsia" w:ascii="宋体" w:hAnsi="宋体" w:eastAsia="宋体" w:cs="宋体"/>
                <w:b/>
                <w:bCs/>
                <w:szCs w:val="24"/>
              </w:rPr>
              <w:t>二、规划方案</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szCs w:val="24"/>
              </w:rPr>
            </w:pPr>
            <w:r>
              <w:rPr>
                <w:rFonts w:hint="eastAsia" w:ascii="宋体" w:hAnsi="宋体" w:eastAsia="宋体" w:cs="宋体"/>
                <w:szCs w:val="24"/>
              </w:rPr>
              <w:t>本次海丰县公交规划，在充分掌握海丰县现状公交运行状况的背景下，结合县城土地开发及城市发展状况，通过线网提升、站点升级，构建“1+6+N”的县域公交网络体系，其中“1”为一个县城中心全覆盖，“6”为六条延长线辐射重点镇，“N”为N条线路兼顾其他镇；升级站点设施，设置站点207个，其中普通站点137个，换乘站点70个；新增站点87个，合并及取消现状站点37个。</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szCs w:val="24"/>
              </w:rPr>
            </w:pPr>
            <w:r>
              <w:rPr>
                <w:rFonts w:hint="eastAsia" w:ascii="宋体" w:hAnsi="宋体" w:eastAsia="宋体" w:cs="宋体"/>
                <w:szCs w:val="24"/>
              </w:rPr>
              <w:t>（一）近期规划形成11条线路为主的城镇公交线网，实现县城中心全覆盖，线路总里程达128公里，覆盖道路里程88.08公里，重复系数1.42，300米公交覆盖率86%，500米公交覆盖率100%。</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szCs w:val="24"/>
              </w:rPr>
            </w:pPr>
            <w:r>
              <w:rPr>
                <w:rFonts w:hint="eastAsia" w:ascii="宋体" w:hAnsi="宋体" w:eastAsia="宋体" w:cs="宋体"/>
                <w:szCs w:val="24"/>
              </w:rPr>
              <w:t>（二）中远期形成6条延长线辐射重点镇。</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szCs w:val="24"/>
              </w:rPr>
            </w:pPr>
            <w:r>
              <w:rPr>
                <w:rFonts w:hint="eastAsia" w:ascii="宋体" w:hAnsi="宋体" w:eastAsia="宋体" w:cs="宋体"/>
                <w:szCs w:val="24"/>
              </w:rPr>
              <w:t>（三）远期形成考虑县城周边重点镇与其他镇及乡村之间出行需求，形成各乡镇公交连接线。</w:t>
            </w:r>
          </w:p>
          <w:p>
            <w:pPr>
              <w:spacing w:line="360" w:lineRule="auto"/>
              <w:jc w:val="center"/>
              <w:rPr>
                <w:rFonts w:hint="eastAsia" w:ascii="宋体" w:hAnsi="宋体" w:eastAsia="宋体" w:cs="宋体"/>
                <w:b/>
                <w:bCs/>
              </w:rPr>
            </w:pPr>
            <w:r>
              <w:rPr>
                <w:rFonts w:hint="eastAsia" w:ascii="宋体" w:hAnsi="宋体" w:eastAsia="宋体" w:cs="宋体"/>
              </w:rPr>
              <w:drawing>
                <wp:inline distT="0" distB="0" distL="0" distR="0">
                  <wp:extent cx="4831715" cy="3282950"/>
                  <wp:effectExtent l="0" t="0" r="6985" b="1270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4831715" cy="3282950"/>
                          </a:xfrm>
                          <a:prstGeom prst="rect">
                            <a:avLst/>
                          </a:prstGeom>
                        </pic:spPr>
                      </pic:pic>
                    </a:graphicData>
                  </a:graphic>
                </wp:inline>
              </w:drawing>
            </w:r>
          </w:p>
        </w:tc>
      </w:tr>
    </w:tbl>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2.提高公交枢纽站服务水平</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利用已有的乡镇客运站与农村客运候车亭进行功能调整，实现对城市公共交通的开放共享，保证公交场站的供给。推进</w:t>
      </w:r>
      <w:r>
        <w:rPr>
          <w:rFonts w:hint="eastAsia" w:ascii="宋体" w:hAnsi="宋体" w:eastAsia="宋体" w:cs="宋体"/>
          <w:color w:val="000000"/>
          <w:sz w:val="24"/>
          <w:szCs w:val="32"/>
          <w:u w:val="single"/>
        </w:rPr>
        <w:t>海丰县一镇一站综合客运车场建设项目</w:t>
      </w:r>
      <w:r>
        <w:rPr>
          <w:rFonts w:hint="eastAsia" w:ascii="宋体" w:hAnsi="宋体" w:eastAsia="宋体" w:cs="宋体"/>
          <w:color w:val="000000"/>
          <w:sz w:val="24"/>
          <w:szCs w:val="32"/>
        </w:rPr>
        <w:t>，增强县内镇间的联系，做到综合客运枢纽覆盖到每一个镇，具备条件的建制村通客车比例达到100%。加强公交客运枢纽与其他交通方式的衔接，保障乘客换乘舒适度，并解决“最后一公里”问题。增加站点无障碍设施的建设，满足伤残人士等特殊人群的出行需求，加强配套设施服务。加快公交站台智慧化建设，利用“互联网+交通”技术，实现车辆与平台的互通互联，为站点提供信息预报，提高民众出行的便捷与舒适体验。</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表14</w:t>
      </w:r>
      <w:r>
        <w:rPr>
          <w:rFonts w:hint="eastAsia" w:ascii="宋体" w:hAnsi="宋体" w:eastAsia="宋体" w:cs="宋体"/>
          <w:b/>
          <w:bCs/>
          <w:color w:val="000000"/>
          <w:sz w:val="21"/>
          <w:szCs w:val="21"/>
          <w:lang w:val="en-US" w:eastAsia="zh-CN"/>
        </w:rPr>
        <w:t xml:space="preserve">  </w:t>
      </w:r>
      <w:r>
        <w:rPr>
          <w:rFonts w:hint="eastAsia" w:ascii="宋体" w:hAnsi="宋体" w:eastAsia="宋体" w:cs="宋体"/>
          <w:b/>
          <w:bCs/>
          <w:color w:val="000000"/>
          <w:sz w:val="21"/>
          <w:szCs w:val="21"/>
        </w:rPr>
        <w:t>海丰县“十四五”重大交通基础设施建设项目表（公共交通）</w:t>
      </w:r>
    </w:p>
    <w:tbl>
      <w:tblPr>
        <w:tblStyle w:val="5"/>
        <w:tblW w:w="4931"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4497"/>
        <w:gridCol w:w="1123"/>
        <w:gridCol w:w="1403"/>
        <w:gridCol w:w="112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385" w:type="pct"/>
            <w:shd w:val="clear" w:color="auto" w:fill="D9D9D9"/>
            <w:vAlign w:val="center"/>
          </w:tcPr>
          <w:p>
            <w:pPr>
              <w:jc w:val="center"/>
              <w:rPr>
                <w:rFonts w:hint="eastAsia" w:ascii="宋体" w:hAnsi="宋体" w:eastAsia="宋体" w:cs="宋体"/>
                <w:b/>
                <w:sz w:val="22"/>
                <w:szCs w:val="21"/>
              </w:rPr>
            </w:pPr>
            <w:r>
              <w:rPr>
                <w:rFonts w:hint="eastAsia" w:ascii="宋体" w:hAnsi="宋体" w:eastAsia="宋体" w:cs="宋体"/>
                <w:b/>
                <w:sz w:val="22"/>
                <w:szCs w:val="21"/>
              </w:rPr>
              <w:t>序号</w:t>
            </w:r>
          </w:p>
        </w:tc>
        <w:tc>
          <w:tcPr>
            <w:tcW w:w="2548" w:type="pct"/>
            <w:shd w:val="clear" w:color="auto" w:fill="D9D9D9"/>
            <w:vAlign w:val="center"/>
          </w:tcPr>
          <w:p>
            <w:pPr>
              <w:jc w:val="center"/>
              <w:rPr>
                <w:rFonts w:hint="eastAsia" w:ascii="宋体" w:hAnsi="宋体" w:eastAsia="宋体" w:cs="宋体"/>
                <w:b/>
                <w:sz w:val="22"/>
                <w:szCs w:val="21"/>
              </w:rPr>
            </w:pPr>
            <w:r>
              <w:rPr>
                <w:rFonts w:hint="eastAsia" w:ascii="宋体" w:hAnsi="宋体" w:eastAsia="宋体" w:cs="宋体"/>
                <w:b/>
                <w:sz w:val="22"/>
                <w:szCs w:val="21"/>
              </w:rPr>
              <w:t>项目名称</w:t>
            </w:r>
          </w:p>
        </w:tc>
        <w:tc>
          <w:tcPr>
            <w:tcW w:w="636" w:type="pct"/>
            <w:shd w:val="clear" w:color="auto" w:fill="D9D9D9"/>
            <w:vAlign w:val="center"/>
          </w:tcPr>
          <w:p>
            <w:pPr>
              <w:jc w:val="center"/>
              <w:rPr>
                <w:rFonts w:hint="eastAsia" w:ascii="宋体" w:hAnsi="宋体" w:eastAsia="宋体" w:cs="宋体"/>
                <w:b/>
                <w:sz w:val="22"/>
                <w:szCs w:val="21"/>
              </w:rPr>
            </w:pPr>
            <w:r>
              <w:rPr>
                <w:rFonts w:hint="eastAsia" w:ascii="宋体" w:hAnsi="宋体" w:eastAsia="宋体" w:cs="宋体"/>
                <w:b/>
                <w:sz w:val="22"/>
                <w:szCs w:val="21"/>
              </w:rPr>
              <w:t>建设规模</w:t>
            </w:r>
          </w:p>
        </w:tc>
        <w:tc>
          <w:tcPr>
            <w:tcW w:w="795" w:type="pct"/>
            <w:shd w:val="clear" w:color="auto" w:fill="D9D9D9"/>
            <w:vAlign w:val="center"/>
          </w:tcPr>
          <w:p>
            <w:pPr>
              <w:jc w:val="center"/>
              <w:rPr>
                <w:rFonts w:hint="eastAsia" w:ascii="宋体" w:hAnsi="宋体" w:eastAsia="宋体" w:cs="宋体"/>
                <w:b/>
                <w:sz w:val="22"/>
                <w:szCs w:val="21"/>
              </w:rPr>
            </w:pPr>
            <w:r>
              <w:rPr>
                <w:rFonts w:hint="eastAsia" w:ascii="宋体" w:hAnsi="宋体" w:eastAsia="宋体" w:cs="宋体"/>
                <w:b/>
                <w:sz w:val="22"/>
                <w:szCs w:val="21"/>
              </w:rPr>
              <w:t>十四五投资</w:t>
            </w:r>
          </w:p>
          <w:p>
            <w:pPr>
              <w:jc w:val="center"/>
              <w:rPr>
                <w:rFonts w:hint="eastAsia" w:ascii="宋体" w:hAnsi="宋体" w:eastAsia="宋体" w:cs="宋体"/>
                <w:b/>
                <w:sz w:val="22"/>
                <w:szCs w:val="21"/>
              </w:rPr>
            </w:pPr>
            <w:r>
              <w:rPr>
                <w:rFonts w:hint="eastAsia" w:ascii="宋体" w:hAnsi="宋体" w:eastAsia="宋体" w:cs="宋体"/>
                <w:b/>
                <w:sz w:val="22"/>
                <w:szCs w:val="21"/>
              </w:rPr>
              <w:t>（亿元）</w:t>
            </w:r>
          </w:p>
        </w:tc>
        <w:tc>
          <w:tcPr>
            <w:tcW w:w="636" w:type="pct"/>
            <w:shd w:val="clear" w:color="auto" w:fill="D9D9D9"/>
            <w:vAlign w:val="center"/>
          </w:tcPr>
          <w:p>
            <w:pPr>
              <w:jc w:val="center"/>
              <w:rPr>
                <w:rFonts w:hint="eastAsia" w:ascii="宋体" w:hAnsi="宋体" w:eastAsia="宋体" w:cs="宋体"/>
                <w:b/>
                <w:sz w:val="22"/>
                <w:szCs w:val="21"/>
              </w:rPr>
            </w:pPr>
            <w:r>
              <w:rPr>
                <w:rFonts w:hint="eastAsia" w:ascii="宋体" w:hAnsi="宋体" w:eastAsia="宋体" w:cs="宋体"/>
                <w:b/>
                <w:sz w:val="22"/>
                <w:szCs w:val="21"/>
              </w:rPr>
              <w:t>总投资</w:t>
            </w:r>
          </w:p>
          <w:p>
            <w:pPr>
              <w:jc w:val="center"/>
              <w:rPr>
                <w:rFonts w:hint="eastAsia" w:ascii="宋体" w:hAnsi="宋体" w:eastAsia="宋体" w:cs="宋体"/>
                <w:b/>
                <w:sz w:val="22"/>
                <w:szCs w:val="21"/>
              </w:rPr>
            </w:pPr>
            <w:r>
              <w:rPr>
                <w:rFonts w:hint="eastAsia" w:ascii="宋体" w:hAnsi="宋体" w:eastAsia="宋体" w:cs="宋体"/>
                <w:b/>
                <w:sz w:val="22"/>
                <w:szCs w:val="21"/>
              </w:rPr>
              <w:t>（亿元）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85" w:type="pct"/>
            <w:vAlign w:val="center"/>
          </w:tcPr>
          <w:p>
            <w:pPr>
              <w:jc w:val="center"/>
              <w:rPr>
                <w:rFonts w:hint="eastAsia" w:ascii="宋体" w:hAnsi="宋体" w:eastAsia="宋体" w:cs="宋体"/>
                <w:sz w:val="22"/>
                <w:szCs w:val="21"/>
              </w:rPr>
            </w:pPr>
          </w:p>
        </w:tc>
        <w:tc>
          <w:tcPr>
            <w:tcW w:w="2548" w:type="pct"/>
            <w:vAlign w:val="center"/>
          </w:tcPr>
          <w:p>
            <w:pPr>
              <w:jc w:val="center"/>
              <w:rPr>
                <w:rFonts w:hint="eastAsia" w:ascii="宋体" w:hAnsi="宋体" w:eastAsia="宋体" w:cs="宋体"/>
                <w:sz w:val="22"/>
                <w:szCs w:val="21"/>
              </w:rPr>
            </w:pPr>
            <w:r>
              <w:rPr>
                <w:rFonts w:hint="eastAsia" w:ascii="宋体" w:hAnsi="宋体" w:eastAsia="宋体" w:cs="宋体"/>
                <w:b/>
                <w:sz w:val="22"/>
                <w:szCs w:val="21"/>
              </w:rPr>
              <w:t>公共交通（共1项）</w:t>
            </w:r>
          </w:p>
        </w:tc>
        <w:tc>
          <w:tcPr>
            <w:tcW w:w="636" w:type="pct"/>
            <w:vAlign w:val="center"/>
          </w:tcPr>
          <w:p>
            <w:pPr>
              <w:jc w:val="center"/>
              <w:rPr>
                <w:rFonts w:hint="eastAsia" w:ascii="宋体" w:hAnsi="宋体" w:eastAsia="宋体" w:cs="宋体"/>
                <w:color w:val="000000"/>
                <w:sz w:val="22"/>
                <w:szCs w:val="18"/>
              </w:rPr>
            </w:pPr>
          </w:p>
        </w:tc>
        <w:tc>
          <w:tcPr>
            <w:tcW w:w="795" w:type="pct"/>
            <w:vAlign w:val="center"/>
          </w:tcPr>
          <w:p>
            <w:pPr>
              <w:jc w:val="center"/>
              <w:rPr>
                <w:rFonts w:hint="eastAsia" w:ascii="宋体" w:hAnsi="宋体" w:eastAsia="宋体" w:cs="宋体"/>
                <w:color w:val="000000"/>
                <w:sz w:val="22"/>
                <w:szCs w:val="18"/>
              </w:rPr>
            </w:pPr>
          </w:p>
        </w:tc>
        <w:tc>
          <w:tcPr>
            <w:tcW w:w="636" w:type="pct"/>
            <w:vAlign w:val="center"/>
          </w:tcPr>
          <w:p>
            <w:pPr>
              <w:jc w:val="center"/>
              <w:rPr>
                <w:rFonts w:hint="eastAsia" w:ascii="宋体" w:hAnsi="宋体" w:eastAsia="宋体" w:cs="宋体"/>
                <w:color w:val="000000"/>
                <w:sz w:val="22"/>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85" w:type="pct"/>
            <w:vAlign w:val="center"/>
          </w:tcPr>
          <w:p>
            <w:pPr>
              <w:jc w:val="center"/>
              <w:rPr>
                <w:rFonts w:hint="eastAsia" w:ascii="宋体" w:hAnsi="宋体" w:eastAsia="宋体" w:cs="宋体"/>
                <w:sz w:val="22"/>
                <w:szCs w:val="21"/>
              </w:rPr>
            </w:pPr>
            <w:r>
              <w:rPr>
                <w:rFonts w:hint="eastAsia" w:ascii="宋体" w:hAnsi="宋体" w:eastAsia="宋体" w:cs="宋体"/>
                <w:sz w:val="22"/>
                <w:szCs w:val="21"/>
              </w:rPr>
              <w:t>1</w:t>
            </w:r>
          </w:p>
        </w:tc>
        <w:tc>
          <w:tcPr>
            <w:tcW w:w="2548" w:type="pct"/>
            <w:vAlign w:val="center"/>
          </w:tcPr>
          <w:p>
            <w:pPr>
              <w:jc w:val="center"/>
              <w:rPr>
                <w:rFonts w:hint="eastAsia" w:ascii="宋体" w:hAnsi="宋体" w:eastAsia="宋体" w:cs="宋体"/>
                <w:sz w:val="22"/>
                <w:szCs w:val="21"/>
              </w:rPr>
            </w:pPr>
            <w:r>
              <w:rPr>
                <w:rFonts w:hint="eastAsia" w:ascii="宋体" w:hAnsi="宋体" w:eastAsia="宋体" w:cs="宋体"/>
                <w:color w:val="000000"/>
                <w:sz w:val="22"/>
                <w:szCs w:val="18"/>
              </w:rPr>
              <w:t>海丰县一镇一站综合客运车场建设项目</w:t>
            </w:r>
          </w:p>
        </w:tc>
        <w:tc>
          <w:tcPr>
            <w:tcW w:w="636" w:type="pct"/>
            <w:vAlign w:val="center"/>
          </w:tcPr>
          <w:p>
            <w:pPr>
              <w:jc w:val="center"/>
              <w:rPr>
                <w:rFonts w:hint="eastAsia" w:ascii="宋体" w:hAnsi="宋体" w:eastAsia="宋体" w:cs="宋体"/>
                <w:color w:val="000000"/>
                <w:sz w:val="22"/>
                <w:szCs w:val="18"/>
              </w:rPr>
            </w:pPr>
            <w:r>
              <w:rPr>
                <w:rFonts w:hint="eastAsia" w:ascii="宋体" w:hAnsi="宋体" w:eastAsia="宋体" w:cs="宋体"/>
                <w:color w:val="000000"/>
                <w:sz w:val="22"/>
                <w:szCs w:val="18"/>
              </w:rPr>
              <w:t>-</w:t>
            </w:r>
          </w:p>
        </w:tc>
        <w:tc>
          <w:tcPr>
            <w:tcW w:w="795" w:type="pct"/>
            <w:vAlign w:val="center"/>
          </w:tcPr>
          <w:p>
            <w:pPr>
              <w:jc w:val="center"/>
              <w:rPr>
                <w:rFonts w:hint="eastAsia" w:ascii="宋体" w:hAnsi="宋体" w:eastAsia="宋体" w:cs="宋体"/>
                <w:color w:val="000000"/>
                <w:sz w:val="22"/>
                <w:szCs w:val="18"/>
              </w:rPr>
            </w:pPr>
            <w:r>
              <w:rPr>
                <w:rFonts w:hint="eastAsia" w:ascii="宋体" w:hAnsi="宋体" w:eastAsia="宋体" w:cs="宋体"/>
                <w:color w:val="000000"/>
                <w:sz w:val="22"/>
                <w:szCs w:val="18"/>
              </w:rPr>
              <w:t>5.00</w:t>
            </w:r>
          </w:p>
        </w:tc>
        <w:tc>
          <w:tcPr>
            <w:tcW w:w="636" w:type="pct"/>
            <w:vAlign w:val="center"/>
          </w:tcPr>
          <w:p>
            <w:pPr>
              <w:jc w:val="center"/>
              <w:rPr>
                <w:rFonts w:hint="eastAsia" w:ascii="宋体" w:hAnsi="宋体" w:eastAsia="宋体" w:cs="宋体"/>
                <w:color w:val="000000"/>
                <w:sz w:val="22"/>
                <w:szCs w:val="18"/>
              </w:rPr>
            </w:pPr>
            <w:r>
              <w:rPr>
                <w:rFonts w:hint="eastAsia" w:ascii="宋体" w:hAnsi="宋体" w:eastAsia="宋体" w:cs="宋体"/>
                <w:color w:val="000000"/>
                <w:sz w:val="22"/>
                <w:szCs w:val="18"/>
              </w:rPr>
              <w:t>5.00</w:t>
            </w:r>
          </w:p>
        </w:tc>
      </w:tr>
    </w:tbl>
    <w:p>
      <w:pPr>
        <w:rPr>
          <w:rFonts w:hint="eastAsia" w:ascii="宋体" w:hAnsi="宋体" w:eastAsia="宋体" w:cs="宋体"/>
          <w:color w:val="000000"/>
          <w:sz w:val="24"/>
          <w:szCs w:val="32"/>
        </w:rPr>
      </w:pPr>
      <w:r>
        <w:rPr>
          <w:rFonts w:hint="eastAsia" w:ascii="宋体" w:hAnsi="宋体" w:eastAsia="宋体" w:cs="宋体"/>
          <w:color w:val="000000"/>
          <w:sz w:val="24"/>
          <w:szCs w:val="32"/>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000000"/>
          <w:sz w:val="44"/>
          <w:szCs w:val="44"/>
        </w:rPr>
      </w:pPr>
      <w:r>
        <w:rPr>
          <w:rFonts w:hint="eastAsia" w:ascii="宋体" w:hAnsi="宋体" w:eastAsia="宋体" w:cs="宋体"/>
          <w:color w:val="000000"/>
          <w:sz w:val="44"/>
          <w:szCs w:val="44"/>
        </w:rPr>
        <w:t>第六章</w:t>
      </w:r>
      <w:r>
        <w:rPr>
          <w:rFonts w:hint="eastAsia" w:ascii="宋体" w:hAnsi="宋体" w:eastAsia="宋体" w:cs="宋体"/>
          <w:color w:val="000000"/>
          <w:sz w:val="44"/>
          <w:szCs w:val="44"/>
          <w:lang w:val="en-US" w:eastAsia="zh-CN"/>
        </w:rPr>
        <w:t xml:space="preserve">  </w:t>
      </w:r>
      <w:r>
        <w:rPr>
          <w:rFonts w:hint="eastAsia" w:ascii="宋体" w:hAnsi="宋体" w:eastAsia="宋体" w:cs="宋体"/>
          <w:color w:val="000000"/>
          <w:sz w:val="44"/>
          <w:szCs w:val="44"/>
        </w:rPr>
        <w:t>构建高标准支持保障体系</w:t>
      </w:r>
    </w:p>
    <w:p>
      <w:pPr>
        <w:keepNext w:val="0"/>
        <w:keepLines w:val="0"/>
        <w:pageBreakBefore w:val="0"/>
        <w:widowControl w:val="0"/>
        <w:kinsoku/>
        <w:wordWrap/>
        <w:overflowPunct/>
        <w:topLinePunct w:val="0"/>
        <w:autoSpaceDE/>
        <w:autoSpaceDN/>
        <w:bidi w:val="0"/>
        <w:adjustRightInd/>
        <w:snapToGrid/>
        <w:spacing w:before="157" w:beforeLines="50" w:after="157" w:afterLines="50" w:line="520" w:lineRule="exact"/>
        <w:ind w:left="0" w:leftChars="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第一节</w:t>
      </w:r>
      <w:r>
        <w:rPr>
          <w:rFonts w:hint="eastAsia" w:ascii="宋体" w:hAnsi="宋体" w:eastAsia="宋体" w:cs="宋体"/>
          <w:color w:val="000000"/>
          <w:sz w:val="28"/>
          <w:szCs w:val="28"/>
          <w:lang w:val="en-US" w:eastAsia="zh-CN"/>
        </w:rPr>
        <w:t xml:space="preserve">  </w:t>
      </w:r>
      <w:r>
        <w:rPr>
          <w:rFonts w:hint="eastAsia" w:ascii="宋体" w:hAnsi="宋体" w:eastAsia="宋体" w:cs="宋体"/>
          <w:color w:val="000000"/>
          <w:sz w:val="28"/>
          <w:szCs w:val="28"/>
        </w:rPr>
        <w:t>发展先进可靠的现代治理体系</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1.深化行业体制改革</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坚持法治引领，完善综合交通法规体系。交通法治体系方面，围绕交通运输工作规范化、程序化、法治化的目标，健全完善综合交通运输法规制度体系、重大行政决策机制，行政执法行为规范体系；交通运输管理体制改革方面，进一步理顺交通运输管理体制，切实加大政府职能转变，处理好政府和市场关系，推进重点领域改革。强化规划协同，实现“多规合一”、“多规融合”。</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2.提升执法服务能力</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建立健全学法制度，增强行政执法人员业务素质，进行系统性的法律法规知识培训，所有行政执法人员取得行政执法证后再上岗，进一步提高行政执法人员业务水平。强化窗口管理，提高服务意识，在行政服务中心政务大厅设立交通服务窗口，为群众和企业提供更规范有序、方便高效的服务环境。简化办事程序，加快推进“互联网+政务服务”建设，实现交通运输政务服务“一网通办”，进一步提高办事效率。</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3.夯实党风行风建设</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强化职责职能，深入推进机关效能建设和交通运输综合行政执法队伍建设，巩固群众路线教育和“不忘初心</w:t>
      </w:r>
      <w:r>
        <w:rPr>
          <w:rFonts w:hint="eastAsia" w:ascii="宋体" w:hAnsi="宋体" w:eastAsia="宋体" w:cs="宋体"/>
          <w:color w:val="000000"/>
          <w:sz w:val="24"/>
          <w:szCs w:val="32"/>
          <w:lang w:eastAsia="zh-CN"/>
        </w:rPr>
        <w:t>、</w:t>
      </w:r>
      <w:r>
        <w:rPr>
          <w:rFonts w:hint="eastAsia" w:ascii="宋体" w:hAnsi="宋体" w:eastAsia="宋体" w:cs="宋体"/>
          <w:color w:val="000000"/>
          <w:sz w:val="24"/>
          <w:szCs w:val="32"/>
        </w:rPr>
        <w:t>牢记使命”活动成果，增强干部职工争先创优、廉洁自律意识，切实解决“四风”及交通管理工作中的突出问题，全面提高自身素质和履职能力，建设敢担当、能负重、有作为的交通队伍，促进交通运输行业快速发展。</w:t>
      </w:r>
    </w:p>
    <w:p>
      <w:pPr>
        <w:keepNext w:val="0"/>
        <w:keepLines w:val="0"/>
        <w:pageBreakBefore w:val="0"/>
        <w:widowControl w:val="0"/>
        <w:kinsoku/>
        <w:wordWrap/>
        <w:overflowPunct/>
        <w:topLinePunct w:val="0"/>
        <w:autoSpaceDE/>
        <w:autoSpaceDN/>
        <w:bidi w:val="0"/>
        <w:adjustRightInd/>
        <w:snapToGrid/>
        <w:spacing w:before="157" w:beforeLines="50" w:after="157" w:afterLines="50" w:line="520" w:lineRule="exact"/>
        <w:ind w:left="0" w:leftChars="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第二节 发展数字创新的智慧交通体系</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1.提高公众出行智能化服务水平</w:t>
      </w:r>
      <w:bookmarkStart w:id="0" w:name="_GoBack"/>
    </w:p>
    <w:bookmarkEnd w:id="0"/>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坚持创新驱动，夯实信息化基础，以智能化推进交通运输的转型升级，促进行业治理水平不断提升。加快智慧公交系统建设，发展旅客联程运输，强化旅客联程运输公共信息服务，积极倡导“出行即服务”理念。推动“互联网+”便捷交通发展，鼓励和规范定制公交、智能停车、网约车等城市出行服务新业态发展。推动农村地区电子地图导航服务范围扩大，进一步向建制村和乡村道覆盖。加强各类出行服务信息的融合应用，利用城市公交调度系统数据、手机信令等数据，为群众出行路线安排、城市公交线网优化、运输企业运力有序投放等提供支撑。</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十四五”期间，重点推动海丰县域智慧停车系统建设，实现停车的动态监控，停车诱导，系统联动及信息化服务等。大力推进“互联网+行政执法”、信息化移动执法和非现场执法治超，积极探索执法全过程同步网络管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sz w:val="24"/>
          <w:szCs w:val="32"/>
        </w:rPr>
      </w:pPr>
      <w:r>
        <w:rPr>
          <w:rFonts w:hint="eastAsia" w:ascii="宋体" w:hAnsi="宋体" w:eastAsia="宋体" w:cs="宋体"/>
        </w:rPr>
        <w:drawing>
          <wp:inline distT="0" distB="0" distL="0" distR="0">
            <wp:extent cx="5400040" cy="3321050"/>
            <wp:effectExtent l="9525" t="9525" r="19685" b="222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a:stretch>
                      <a:fillRect/>
                    </a:stretch>
                  </pic:blipFill>
                  <pic:spPr>
                    <a:xfrm>
                      <a:off x="0" y="0"/>
                      <a:ext cx="5400040" cy="3321050"/>
                    </a:xfrm>
                    <a:prstGeom prst="rect">
                      <a:avLst/>
                    </a:prstGeom>
                    <a:ln w="6350">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图16</w:t>
      </w:r>
      <w:r>
        <w:rPr>
          <w:rFonts w:hint="eastAsia" w:ascii="宋体" w:hAnsi="宋体" w:eastAsia="宋体" w:cs="宋体"/>
          <w:b/>
          <w:bCs/>
          <w:color w:val="000000"/>
          <w:sz w:val="21"/>
          <w:szCs w:val="21"/>
          <w:lang w:val="en-US" w:eastAsia="zh-CN"/>
        </w:rPr>
        <w:t xml:space="preserve">  </w:t>
      </w:r>
      <w:r>
        <w:rPr>
          <w:rFonts w:hint="eastAsia" w:ascii="宋体" w:hAnsi="宋体" w:eastAsia="宋体" w:cs="宋体"/>
          <w:b/>
          <w:bCs/>
          <w:color w:val="000000"/>
          <w:sz w:val="21"/>
          <w:szCs w:val="21"/>
        </w:rPr>
        <w:t>海丰县智慧停车系统布点示意图</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2.提升行业管理信息化水平</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开发综合出行服务平台、综合交通协调调度与应急处置平台等系统，实现交通综合调控、运行指挥、应急处置和信息发布等业务功能，并为政府部门、运营企业和社会公众提供信息服务。推进基于互联网的交通行政许可办理、综合执法、市场监管、安全应急处置等交通监管新模式向基层延伸。推进海丰县公路、铁路、邮政、城市公共交通等监管系统联网，加快推进交通、公安、环保、质监等部门数据交换和监管行动，实现各种运输方式的信息共享，不断提升交通行业管理信息化水准。</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第三节 发展节能生态的绿色交通体系</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1.推动低碳出行和节能减排</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加强交通运输节能环保基础能力建设，强化车辆节能减排技术应用，加大新能源和清洁能源车辆在城市公交、出租汽车、城市配送、邮政快递等领域应用，新增或更新的公交、出租、物流配送等车辆中新能源汽车比例达到100%，并加快新能源配套设施建设。推进绿色交通宣传与文化建设，鼓励公众使用绿色出行方式，大力发展公共交通，积极倡导绿色发展、低碳出行，完善慢行设施建设。“十四五”期间，着力推动新能源公交车基本实现城乡100%全覆盖。</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2.强化生态保护和污染防治</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严抓生态保护，严控施工污染，优先采用低碳、环保、节能的新材料、新技术。强化工程施工粉尘综合防治，重点推进主要作业区的大型堆场防风抑尘设施的建设。提高继续利用或再利用废旧材料的比例，积极开展废旧路面、沥青等材料再生综合利用，扩大工业废料及建筑垃圾在交通基础设施建设中的无害化处理和综合利用。强化营运货车污染排放的源头管控，推广应用高效、节能、环保的车辆装备。</w:t>
      </w:r>
    </w:p>
    <w:p>
      <w:pPr>
        <w:rPr>
          <w:rFonts w:hint="eastAsia" w:ascii="宋体" w:hAnsi="宋体" w:eastAsia="宋体" w:cs="宋体"/>
          <w:color w:val="000000"/>
          <w:sz w:val="24"/>
          <w:szCs w:val="32"/>
        </w:rPr>
      </w:pPr>
      <w:r>
        <w:rPr>
          <w:rFonts w:hint="eastAsia" w:ascii="宋体" w:hAnsi="宋体" w:eastAsia="宋体" w:cs="宋体"/>
          <w:color w:val="000000"/>
          <w:sz w:val="24"/>
          <w:szCs w:val="32"/>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000000"/>
          <w:sz w:val="44"/>
          <w:szCs w:val="44"/>
        </w:rPr>
      </w:pPr>
      <w:r>
        <w:rPr>
          <w:rFonts w:hint="eastAsia" w:ascii="宋体" w:hAnsi="宋体" w:eastAsia="宋体" w:cs="宋体"/>
          <w:color w:val="000000"/>
          <w:sz w:val="44"/>
          <w:szCs w:val="44"/>
        </w:rPr>
        <w:t>第七章</w:t>
      </w:r>
      <w:r>
        <w:rPr>
          <w:rFonts w:hint="eastAsia" w:ascii="宋体" w:hAnsi="宋体" w:eastAsia="宋体" w:cs="宋体"/>
          <w:color w:val="000000"/>
          <w:sz w:val="44"/>
          <w:szCs w:val="44"/>
          <w:lang w:val="en-US" w:eastAsia="zh-CN"/>
        </w:rPr>
        <w:t xml:space="preserve">  </w:t>
      </w:r>
      <w:r>
        <w:rPr>
          <w:rFonts w:hint="eastAsia" w:ascii="宋体" w:hAnsi="宋体" w:eastAsia="宋体" w:cs="宋体"/>
          <w:color w:val="000000"/>
          <w:sz w:val="44"/>
          <w:szCs w:val="44"/>
        </w:rPr>
        <w:t>环境影响评价</w:t>
      </w:r>
    </w:p>
    <w:p>
      <w:pPr>
        <w:keepNext w:val="0"/>
        <w:keepLines w:val="0"/>
        <w:pageBreakBefore w:val="0"/>
        <w:widowControl w:val="0"/>
        <w:kinsoku/>
        <w:wordWrap/>
        <w:overflowPunct/>
        <w:topLinePunct w:val="0"/>
        <w:autoSpaceDE/>
        <w:autoSpaceDN/>
        <w:bidi w:val="0"/>
        <w:adjustRightInd/>
        <w:snapToGrid/>
        <w:spacing w:line="530" w:lineRule="exact"/>
        <w:ind w:firstLine="480" w:firstLineChars="200"/>
        <w:textAlignment w:val="auto"/>
        <w:rPr>
          <w:rFonts w:hint="eastAsia" w:ascii="宋体" w:hAnsi="宋体" w:eastAsia="宋体" w:cs="宋体"/>
          <w:color w:val="000000"/>
          <w:sz w:val="24"/>
          <w:szCs w:val="32"/>
        </w:rPr>
      </w:pPr>
    </w:p>
    <w:p>
      <w:pPr>
        <w:keepNext w:val="0"/>
        <w:keepLines w:val="0"/>
        <w:pageBreakBefore w:val="0"/>
        <w:widowControl w:val="0"/>
        <w:kinsoku/>
        <w:wordWrap/>
        <w:overflowPunct/>
        <w:topLinePunct w:val="0"/>
        <w:autoSpaceDE/>
        <w:autoSpaceDN/>
        <w:bidi w:val="0"/>
        <w:adjustRightInd/>
        <w:snapToGrid/>
        <w:spacing w:line="53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环境保护是我国的一项基本国策，是社会经济发展的重要战略方针。交通建设对环境有一定的影响，近几年，交通运输发展过程中引起的环境问题受到越来越广泛的关注。根据《中华人民共和国环境影响评价法》、《关于加强公路规划和建设环境影响评价工作的通知》等法律法规及有关环境保护的文件要求，海丰县“十四五”综合交通运输规划将进一步贯彻生态优先、绿色发展的理念，充分考虑交通设施的综合利用，促进全市综合交通体系的可持续发展。</w:t>
      </w:r>
    </w:p>
    <w:p>
      <w:pPr>
        <w:keepNext w:val="0"/>
        <w:keepLines w:val="0"/>
        <w:pageBreakBefore w:val="0"/>
        <w:widowControl w:val="0"/>
        <w:kinsoku/>
        <w:wordWrap/>
        <w:overflowPunct/>
        <w:topLinePunct w:val="0"/>
        <w:autoSpaceDE/>
        <w:autoSpaceDN/>
        <w:bidi w:val="0"/>
        <w:adjustRightInd/>
        <w:snapToGrid/>
        <w:spacing w:before="157" w:beforeLines="50" w:after="157" w:afterLines="50" w:line="530" w:lineRule="exact"/>
        <w:ind w:left="0" w:leftChars="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第一节 环境影响识别分析</w:t>
      </w:r>
    </w:p>
    <w:p>
      <w:pPr>
        <w:keepNext w:val="0"/>
        <w:keepLines w:val="0"/>
        <w:pageBreakBefore w:val="0"/>
        <w:widowControl w:val="0"/>
        <w:kinsoku/>
        <w:wordWrap/>
        <w:overflowPunct/>
        <w:topLinePunct w:val="0"/>
        <w:autoSpaceDE/>
        <w:autoSpaceDN/>
        <w:bidi w:val="0"/>
        <w:adjustRightInd/>
        <w:snapToGrid/>
        <w:spacing w:line="53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十四五”综合交通运输规划涉及铁路、公路、航空等多种类型交通方式，规划在实施过程中可能对环境产生一定影响，主要体现在资源利用、污染排放、生态格局等方面的影响。资源利用影响主要是项目的建设运营会占用一定的土地资源、矿产能源、自然岸线等。污染排放影响主要是项目的建设运营过程将产生废气、污水、噪音和固体废物等对局部区域环境质量产生的不利影响。生态格局影响主要是规划通道可能会对区域空间造成割裂。具体包括以下几个方面。</w:t>
      </w:r>
    </w:p>
    <w:p>
      <w:pPr>
        <w:keepNext w:val="0"/>
        <w:keepLines w:val="0"/>
        <w:pageBreakBefore w:val="0"/>
        <w:widowControl w:val="0"/>
        <w:kinsoku/>
        <w:wordWrap/>
        <w:overflowPunct/>
        <w:topLinePunct w:val="0"/>
        <w:autoSpaceDE/>
        <w:autoSpaceDN/>
        <w:bidi w:val="0"/>
        <w:adjustRightInd/>
        <w:snapToGrid/>
        <w:spacing w:line="53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地形地貌。</w:t>
      </w:r>
      <w:r>
        <w:rPr>
          <w:rFonts w:hint="eastAsia" w:ascii="宋体" w:hAnsi="宋体" w:eastAsia="宋体" w:cs="宋体"/>
          <w:color w:val="000000"/>
          <w:sz w:val="24"/>
          <w:szCs w:val="32"/>
        </w:rPr>
        <w:t>路网建设对地区地形、地貌的影响表现在对原来地形地貌的改变，特别是扩大水土流失和土地沙化的面积。地形地貌改变的直接原因是填方、挖方、弃土等操作改变了原有的自然生态环境。</w:t>
      </w:r>
    </w:p>
    <w:p>
      <w:pPr>
        <w:keepNext w:val="0"/>
        <w:keepLines w:val="0"/>
        <w:pageBreakBefore w:val="0"/>
        <w:widowControl w:val="0"/>
        <w:kinsoku/>
        <w:wordWrap/>
        <w:overflowPunct/>
        <w:topLinePunct w:val="0"/>
        <w:autoSpaceDE/>
        <w:autoSpaceDN/>
        <w:bidi w:val="0"/>
        <w:adjustRightInd/>
        <w:snapToGrid/>
        <w:spacing w:line="53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动物群。</w:t>
      </w:r>
      <w:r>
        <w:rPr>
          <w:rFonts w:hint="eastAsia" w:ascii="宋体" w:hAnsi="宋体" w:eastAsia="宋体" w:cs="宋体"/>
          <w:color w:val="000000"/>
          <w:sz w:val="24"/>
          <w:szCs w:val="32"/>
        </w:rPr>
        <w:t>交通建设对动物群的影响多种多样，包括由于交通建设而直接导致动物的迁徙、车辆交通公害（如光害、噪声、大气污染）直接或间接影响动物生存及因路线周围地区开发而造成的影响等。</w:t>
      </w:r>
    </w:p>
    <w:p>
      <w:pPr>
        <w:keepNext w:val="0"/>
        <w:keepLines w:val="0"/>
        <w:pageBreakBefore w:val="0"/>
        <w:widowControl w:val="0"/>
        <w:kinsoku/>
        <w:wordWrap/>
        <w:overflowPunct/>
        <w:topLinePunct w:val="0"/>
        <w:autoSpaceDE/>
        <w:autoSpaceDN/>
        <w:bidi w:val="0"/>
        <w:adjustRightInd/>
        <w:snapToGrid/>
        <w:spacing w:line="53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植物群。</w:t>
      </w:r>
      <w:r>
        <w:rPr>
          <w:rFonts w:hint="eastAsia" w:ascii="宋体" w:hAnsi="宋体" w:eastAsia="宋体" w:cs="宋体"/>
          <w:color w:val="000000"/>
          <w:sz w:val="24"/>
          <w:szCs w:val="32"/>
        </w:rPr>
        <w:t>基础设施建设对植物群影响也是多方面的，一是建设土石方工程直接导致植被的破坏；二是由于地表水系地下水位的变化，土壤、大气等生态条件的改变对植物产生影响。</w:t>
      </w:r>
    </w:p>
    <w:p>
      <w:pPr>
        <w:keepNext w:val="0"/>
        <w:keepLines w:val="0"/>
        <w:pageBreakBefore w:val="0"/>
        <w:widowControl w:val="0"/>
        <w:kinsoku/>
        <w:wordWrap/>
        <w:overflowPunct/>
        <w:topLinePunct w:val="0"/>
        <w:autoSpaceDE/>
        <w:autoSpaceDN/>
        <w:bidi w:val="0"/>
        <w:adjustRightInd/>
        <w:snapToGrid/>
        <w:spacing w:line="53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自然景观。</w:t>
      </w:r>
      <w:r>
        <w:rPr>
          <w:rFonts w:hint="eastAsia" w:ascii="宋体" w:hAnsi="宋体" w:eastAsia="宋体" w:cs="宋体"/>
          <w:color w:val="000000"/>
          <w:sz w:val="24"/>
          <w:szCs w:val="32"/>
        </w:rPr>
        <w:t>由于路网建设阻隔或抑制了景观，如新道路的路堤、噪声围栏、高架桥等结构可能会阻挡环境景观。</w:t>
      </w:r>
    </w:p>
    <w:p>
      <w:pPr>
        <w:keepNext w:val="0"/>
        <w:keepLines w:val="0"/>
        <w:pageBreakBefore w:val="0"/>
        <w:widowControl w:val="0"/>
        <w:kinsoku/>
        <w:wordWrap/>
        <w:overflowPunct/>
        <w:topLinePunct w:val="0"/>
        <w:autoSpaceDE/>
        <w:autoSpaceDN/>
        <w:bidi w:val="0"/>
        <w:adjustRightInd/>
        <w:snapToGrid/>
        <w:spacing w:line="53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大气污染。</w:t>
      </w:r>
      <w:r>
        <w:rPr>
          <w:rFonts w:hint="eastAsia" w:ascii="宋体" w:hAnsi="宋体" w:eastAsia="宋体" w:cs="宋体"/>
          <w:color w:val="000000"/>
          <w:sz w:val="24"/>
          <w:szCs w:val="32"/>
        </w:rPr>
        <w:t>在交通运输中，车辆排出的烟尘和有害气体，其数量、浓度和持续时间都超过大气的自然净化能力和允许标准，使人和其他生物都蒙受其害。</w:t>
      </w:r>
    </w:p>
    <w:p>
      <w:pPr>
        <w:keepNext w:val="0"/>
        <w:keepLines w:val="0"/>
        <w:pageBreakBefore w:val="0"/>
        <w:widowControl w:val="0"/>
        <w:kinsoku/>
        <w:wordWrap/>
        <w:overflowPunct/>
        <w:topLinePunct w:val="0"/>
        <w:autoSpaceDE/>
        <w:autoSpaceDN/>
        <w:bidi w:val="0"/>
        <w:adjustRightInd/>
        <w:snapToGrid/>
        <w:spacing w:line="530" w:lineRule="exact"/>
        <w:ind w:firstLine="482" w:firstLineChars="200"/>
        <w:textAlignment w:val="auto"/>
        <w:rPr>
          <w:rFonts w:hint="eastAsia" w:ascii="宋体" w:hAnsi="宋体" w:eastAsia="宋体" w:cs="宋体"/>
          <w:color w:val="000000"/>
          <w:sz w:val="24"/>
          <w:szCs w:val="32"/>
        </w:rPr>
      </w:pPr>
      <w:r>
        <w:rPr>
          <w:rFonts w:hint="eastAsia" w:ascii="宋体" w:hAnsi="宋体" w:eastAsia="宋体" w:cs="宋体"/>
          <w:b/>
          <w:bCs/>
          <w:color w:val="000000"/>
          <w:sz w:val="24"/>
          <w:szCs w:val="32"/>
        </w:rPr>
        <w:t>水质污染。</w:t>
      </w:r>
      <w:r>
        <w:rPr>
          <w:rFonts w:hint="eastAsia" w:ascii="宋体" w:hAnsi="宋体" w:eastAsia="宋体" w:cs="宋体"/>
          <w:color w:val="000000"/>
          <w:sz w:val="24"/>
          <w:szCs w:val="32"/>
        </w:rPr>
        <w:t>由于人为原因，使某些有害物质进入水中，超过了水的自净能力，使水的组成发生变化，从而危害人和动植物的生存条件。</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第二节</w:t>
      </w:r>
      <w:r>
        <w:rPr>
          <w:rFonts w:hint="eastAsia" w:ascii="宋体" w:hAnsi="宋体" w:eastAsia="宋体" w:cs="宋体"/>
          <w:color w:val="000000"/>
          <w:sz w:val="28"/>
          <w:szCs w:val="28"/>
          <w:lang w:val="en-US" w:eastAsia="zh-CN"/>
        </w:rPr>
        <w:t xml:space="preserve">  </w:t>
      </w:r>
      <w:r>
        <w:rPr>
          <w:rFonts w:hint="eastAsia" w:ascii="宋体" w:hAnsi="宋体" w:eastAsia="宋体" w:cs="宋体"/>
          <w:color w:val="000000"/>
          <w:sz w:val="28"/>
          <w:szCs w:val="28"/>
        </w:rPr>
        <w:t>规划实施中环境影响评价</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本规划与《广东省国土空间规划（2020—2035年）》、《广东省沿海经济带综合发展规划》、《汕尾市“三线一单”生态环境分区管控方案》以及在编的《汕尾市国土空间总体规划（2020-2035年）》、《海丰县国土空间总体规划（2020-2035年）》等相衔接协调，保障了经济社会环境协调发展。</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本规划满足资源环境承载力要求，符合可持续发展理念，促进各种资源利用充分，满足“三区三线”、“三线一单”要求，从各种交通方式的规模、结构和布局等方面在规划前期开展管控，节约土地资源，提升资源综合利用。规划对各类建设项目的污染排放进行严格控制，减少对大气环境、水资源等影响。</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第三节</w:t>
      </w:r>
      <w:r>
        <w:rPr>
          <w:rFonts w:hint="eastAsia" w:ascii="宋体" w:hAnsi="宋体" w:eastAsia="宋体" w:cs="宋体"/>
          <w:b/>
          <w:bCs/>
          <w:color w:val="000000"/>
          <w:sz w:val="24"/>
          <w:szCs w:val="32"/>
          <w:lang w:val="en-US" w:eastAsia="zh-CN"/>
        </w:rPr>
        <w:t xml:space="preserve">  </w:t>
      </w:r>
      <w:r>
        <w:rPr>
          <w:rFonts w:hint="eastAsia" w:ascii="宋体" w:hAnsi="宋体" w:eastAsia="宋体" w:cs="宋体"/>
          <w:color w:val="000000"/>
          <w:sz w:val="28"/>
          <w:szCs w:val="28"/>
        </w:rPr>
        <w:t>缓解不良影响的措施与建议</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1.注重生态保护</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合理设计项目线位走向、场站选址和施工方案，注重生态保护，尽量避让永久基本农田和生态环境较敏感区域，不突破“三区三线”及“三线一单”要求。根据规划涉及环境敏感区的不同保护要求，划定禁止穿越区域和限制穿越区域。对于受到较大影响的生态系统或重要生态功能区，提出针对性的生态恢复或生态修复方案；对于受规划实施影响后不可恢复或难于修复的生态系统和重要生态功能区，应提出生态补偿措施或生境替代方案。对于公路建设可能导致的水土流失、生境破坏、生态阻隔等问题，应提出针对性的对策措施；对于受影响的野生保护动物，应提出针对性的保护要求。</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2.强化污染控制</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大力推进节能环保新技术、新装备、新手段，全面推进清洁能源和新能源车船应用，提高能源资源使用效率，加速淘汰高耗能的老旧车船，减少环境污染。对于穿越敏感水体且可能导致污染风险的路段，应提出设置桥面径流收集系统、建设应急事故池等工程措施的建议。结合区域环境空气和声环境保护相关要求，确定合理的大气污染和噪声控制目标。针对规划实施后环境风险事故形势，结合区域事故应急体系的现状和规划，提出具有针对性、可操作性的环境风险防控措施。</w:t>
      </w:r>
    </w:p>
    <w:p>
      <w:pPr>
        <w:pageBreakBefore w:val="0"/>
        <w:widowControl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bCs/>
          <w:color w:val="000000"/>
          <w:sz w:val="24"/>
          <w:szCs w:val="32"/>
        </w:rPr>
      </w:pPr>
      <w:r>
        <w:rPr>
          <w:rFonts w:hint="eastAsia" w:ascii="宋体" w:hAnsi="宋体" w:eastAsia="宋体" w:cs="宋体"/>
          <w:b/>
          <w:bCs/>
          <w:color w:val="000000"/>
          <w:sz w:val="24"/>
          <w:szCs w:val="32"/>
        </w:rPr>
        <w:t>3.加强环境管控</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严格执行《中华人民共和国环境保护法》、《中华人民共和国环境影响评价法》、《建设项目环境保护条例》、《建设项目环境保护条例》、《广东省建设项目环境保护管理条例》，规划包含的建设项目按要求开展项目的环境影响评价工作，严把规划、土地、岸线和环保等准入制度，做好规划项目施工、运行阶段的环境监管。完善“资源—利用—环境”监管体制，规范和加强机构队伍建设，建立风险管控标准体系和技术体系。</w:t>
      </w:r>
    </w:p>
    <w:p>
      <w:pPr>
        <w:rPr>
          <w:rFonts w:hint="eastAsia" w:ascii="宋体" w:hAnsi="宋体" w:eastAsia="宋体" w:cs="宋体"/>
          <w:color w:val="000000"/>
          <w:sz w:val="24"/>
          <w:szCs w:val="32"/>
        </w:rPr>
      </w:pPr>
      <w:r>
        <w:rPr>
          <w:rFonts w:hint="eastAsia" w:ascii="宋体" w:hAnsi="宋体" w:eastAsia="宋体" w:cs="宋体"/>
          <w:color w:val="000000"/>
          <w:sz w:val="24"/>
          <w:szCs w:val="32"/>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000000"/>
          <w:sz w:val="44"/>
          <w:szCs w:val="44"/>
        </w:rPr>
      </w:pPr>
      <w:r>
        <w:rPr>
          <w:rFonts w:hint="eastAsia" w:ascii="宋体" w:hAnsi="宋体" w:eastAsia="宋体" w:cs="宋体"/>
          <w:color w:val="000000"/>
          <w:sz w:val="44"/>
          <w:szCs w:val="44"/>
        </w:rPr>
        <w:t>第八章</w:t>
      </w:r>
      <w:r>
        <w:rPr>
          <w:rFonts w:hint="eastAsia" w:ascii="宋体" w:hAnsi="宋体" w:eastAsia="宋体" w:cs="宋体"/>
          <w:color w:val="000000"/>
          <w:sz w:val="44"/>
          <w:szCs w:val="44"/>
          <w:lang w:val="en-US" w:eastAsia="zh-CN"/>
        </w:rPr>
        <w:t xml:space="preserve">  </w:t>
      </w:r>
      <w:r>
        <w:rPr>
          <w:rFonts w:hint="eastAsia" w:ascii="宋体" w:hAnsi="宋体" w:eastAsia="宋体" w:cs="宋体"/>
          <w:color w:val="000000"/>
          <w:sz w:val="44"/>
          <w:szCs w:val="44"/>
        </w:rPr>
        <w:t>投资匡算</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“十四五”期间，海丰县计划推进交通基础设施建设共57项，其中高快速路建设项目7项、</w:t>
      </w:r>
      <w:r>
        <w:rPr>
          <w:rFonts w:hint="eastAsia" w:ascii="宋体" w:hAnsi="宋体" w:eastAsia="宋体" w:cs="宋体"/>
          <w:color w:val="000000"/>
          <w:sz w:val="24"/>
          <w:szCs w:val="32"/>
        </w:rPr>
        <w:tab/>
      </w:r>
      <w:r>
        <w:rPr>
          <w:rFonts w:hint="eastAsia" w:ascii="宋体" w:hAnsi="宋体" w:eastAsia="宋体" w:cs="宋体"/>
          <w:color w:val="000000"/>
          <w:sz w:val="24"/>
          <w:szCs w:val="32"/>
        </w:rPr>
        <w:t>普通干线公路</w:t>
      </w:r>
      <w:r>
        <w:rPr>
          <w:rFonts w:hint="eastAsia" w:ascii="宋体" w:hAnsi="宋体" w:eastAsia="宋体" w:cs="宋体"/>
          <w:color w:val="000000"/>
          <w:sz w:val="24"/>
          <w:szCs w:val="32"/>
        </w:rPr>
        <w:tab/>
      </w:r>
      <w:r>
        <w:rPr>
          <w:rFonts w:hint="eastAsia" w:ascii="宋体" w:hAnsi="宋体" w:eastAsia="宋体" w:cs="宋体"/>
          <w:color w:val="000000"/>
          <w:sz w:val="24"/>
          <w:szCs w:val="32"/>
        </w:rPr>
        <w:t>建设项目11项、四好农村路</w:t>
      </w:r>
      <w:r>
        <w:rPr>
          <w:rFonts w:hint="eastAsia" w:ascii="宋体" w:hAnsi="宋体" w:eastAsia="宋体" w:cs="宋体"/>
          <w:color w:val="000000"/>
          <w:sz w:val="24"/>
          <w:szCs w:val="32"/>
        </w:rPr>
        <w:tab/>
      </w:r>
      <w:r>
        <w:rPr>
          <w:rFonts w:hint="eastAsia" w:ascii="宋体" w:hAnsi="宋体" w:eastAsia="宋体" w:cs="宋体"/>
          <w:color w:val="000000"/>
          <w:sz w:val="24"/>
          <w:szCs w:val="32"/>
        </w:rPr>
        <w:t>建设项目32项、公路安全提升及危旧桥改造项目3项、</w:t>
      </w:r>
      <w:r>
        <w:rPr>
          <w:rFonts w:hint="eastAsia" w:ascii="宋体" w:hAnsi="宋体" w:eastAsia="宋体" w:cs="宋体"/>
          <w:color w:val="000000"/>
          <w:sz w:val="24"/>
          <w:szCs w:val="32"/>
        </w:rPr>
        <w:tab/>
      </w:r>
      <w:r>
        <w:rPr>
          <w:rFonts w:hint="eastAsia" w:ascii="宋体" w:hAnsi="宋体" w:eastAsia="宋体" w:cs="宋体"/>
          <w:color w:val="000000"/>
          <w:sz w:val="24"/>
          <w:szCs w:val="32"/>
        </w:rPr>
        <w:t>客货运枢纽及物流建设项目3项、公共交通</w:t>
      </w:r>
      <w:r>
        <w:rPr>
          <w:rFonts w:hint="eastAsia" w:ascii="宋体" w:hAnsi="宋体" w:eastAsia="宋体" w:cs="宋体"/>
          <w:color w:val="000000"/>
          <w:sz w:val="24"/>
          <w:szCs w:val="32"/>
        </w:rPr>
        <w:tab/>
      </w:r>
      <w:r>
        <w:rPr>
          <w:rFonts w:hint="eastAsia" w:ascii="宋体" w:hAnsi="宋体" w:eastAsia="宋体" w:cs="宋体"/>
          <w:color w:val="000000"/>
          <w:sz w:val="24"/>
          <w:szCs w:val="32"/>
        </w:rPr>
        <w:t>建设项目1项。项目涉及投资总额约251.34亿元，其中“十四五”期间投资总额约68.38亿元。</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表15</w:t>
      </w:r>
      <w:r>
        <w:rPr>
          <w:rFonts w:hint="eastAsia" w:ascii="宋体" w:hAnsi="宋体" w:eastAsia="宋体" w:cs="宋体"/>
          <w:b/>
          <w:bCs/>
          <w:color w:val="000000"/>
          <w:sz w:val="21"/>
          <w:szCs w:val="21"/>
          <w:lang w:val="en-US" w:eastAsia="zh-CN"/>
        </w:rPr>
        <w:t xml:space="preserve">  </w:t>
      </w:r>
      <w:r>
        <w:rPr>
          <w:rFonts w:hint="eastAsia" w:ascii="宋体" w:hAnsi="宋体" w:eastAsia="宋体" w:cs="宋体"/>
          <w:b/>
          <w:bCs/>
          <w:color w:val="000000"/>
          <w:sz w:val="21"/>
          <w:szCs w:val="21"/>
        </w:rPr>
        <w:t>海丰县“十四五”交通建设项目汇总表</w:t>
      </w:r>
    </w:p>
    <w:tbl>
      <w:tblPr>
        <w:tblStyle w:val="5"/>
        <w:tblW w:w="850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02"/>
        <w:gridCol w:w="1218"/>
        <w:gridCol w:w="2027"/>
        <w:gridCol w:w="175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059" w:type="pct"/>
            <w:vMerge w:val="restart"/>
            <w:shd w:val="clear" w:color="000000" w:fill="D9D9D9"/>
            <w:vAlign w:val="center"/>
          </w:tcPr>
          <w:p>
            <w:pPr>
              <w:pStyle w:val="9"/>
              <w:keepNext w:val="0"/>
              <w:keepLines w:val="0"/>
              <w:pageBreakBefore w:val="0"/>
              <w:widowControl w:val="0"/>
              <w:tabs>
                <w:tab w:val="right" w:leader="dot" w:pos="9060"/>
              </w:tabs>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重点建设内容</w:t>
            </w:r>
          </w:p>
        </w:tc>
        <w:tc>
          <w:tcPr>
            <w:tcW w:w="716" w:type="pct"/>
            <w:vMerge w:val="restart"/>
            <w:shd w:val="clear" w:color="000000" w:fill="D9D9D9"/>
            <w:vAlign w:val="center"/>
          </w:tcPr>
          <w:p>
            <w:pPr>
              <w:pStyle w:val="9"/>
              <w:keepNext w:val="0"/>
              <w:keepLines w:val="0"/>
              <w:pageBreakBefore w:val="0"/>
              <w:widowControl w:val="0"/>
              <w:tabs>
                <w:tab w:val="right" w:leader="dot" w:pos="9060"/>
              </w:tabs>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项目数量</w:t>
            </w:r>
          </w:p>
        </w:tc>
        <w:tc>
          <w:tcPr>
            <w:tcW w:w="1192" w:type="pct"/>
            <w:vMerge w:val="restart"/>
            <w:shd w:val="clear" w:color="000000" w:fill="D9D9D9"/>
            <w:vAlign w:val="center"/>
          </w:tcPr>
          <w:p>
            <w:pPr>
              <w:pStyle w:val="9"/>
              <w:keepNext w:val="0"/>
              <w:keepLines w:val="0"/>
              <w:pageBreakBefore w:val="0"/>
              <w:widowControl w:val="0"/>
              <w:tabs>
                <w:tab w:val="right" w:leader="dot" w:pos="9060"/>
              </w:tabs>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十四五投资</w:t>
            </w:r>
          </w:p>
          <w:p>
            <w:pPr>
              <w:pStyle w:val="9"/>
              <w:keepNext w:val="0"/>
              <w:keepLines w:val="0"/>
              <w:pageBreakBefore w:val="0"/>
              <w:widowControl w:val="0"/>
              <w:tabs>
                <w:tab w:val="right" w:leader="dot" w:pos="9060"/>
              </w:tabs>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（亿元）</w:t>
            </w:r>
          </w:p>
        </w:tc>
        <w:tc>
          <w:tcPr>
            <w:tcW w:w="1033" w:type="pct"/>
            <w:vMerge w:val="restart"/>
            <w:shd w:val="clear" w:color="000000" w:fill="D9D9D9"/>
            <w:vAlign w:val="center"/>
          </w:tcPr>
          <w:p>
            <w:pPr>
              <w:pStyle w:val="9"/>
              <w:keepNext w:val="0"/>
              <w:keepLines w:val="0"/>
              <w:pageBreakBefore w:val="0"/>
              <w:widowControl w:val="0"/>
              <w:tabs>
                <w:tab w:val="right" w:leader="dot" w:pos="9060"/>
              </w:tabs>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总投资</w:t>
            </w:r>
          </w:p>
          <w:p>
            <w:pPr>
              <w:pStyle w:val="9"/>
              <w:keepNext w:val="0"/>
              <w:keepLines w:val="0"/>
              <w:pageBreakBefore w:val="0"/>
              <w:widowControl w:val="0"/>
              <w:tabs>
                <w:tab w:val="right" w:leader="dot" w:pos="9060"/>
              </w:tabs>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（亿元）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9" w:type="pct"/>
            <w:vMerge w:val="continue"/>
            <w:vAlign w:val="center"/>
          </w:tcPr>
          <w:p>
            <w:pPr>
              <w:pStyle w:val="9"/>
              <w:tabs>
                <w:tab w:val="right" w:leader="dot" w:pos="9060"/>
              </w:tabs>
              <w:spacing w:line="240" w:lineRule="auto"/>
              <w:ind w:firstLine="0" w:firstLineChars="0"/>
              <w:jc w:val="center"/>
              <w:rPr>
                <w:rFonts w:hint="eastAsia" w:ascii="宋体" w:hAnsi="宋体" w:eastAsia="宋体" w:cs="宋体"/>
                <w:b/>
                <w:color w:val="auto"/>
                <w:sz w:val="21"/>
                <w:szCs w:val="21"/>
              </w:rPr>
            </w:pPr>
          </w:p>
        </w:tc>
        <w:tc>
          <w:tcPr>
            <w:tcW w:w="716" w:type="pct"/>
            <w:vMerge w:val="continue"/>
            <w:vAlign w:val="center"/>
          </w:tcPr>
          <w:p>
            <w:pPr>
              <w:pStyle w:val="9"/>
              <w:tabs>
                <w:tab w:val="right" w:leader="dot" w:pos="9060"/>
              </w:tabs>
              <w:spacing w:line="240" w:lineRule="auto"/>
              <w:ind w:firstLine="0" w:firstLineChars="0"/>
              <w:jc w:val="center"/>
              <w:rPr>
                <w:rFonts w:hint="eastAsia" w:ascii="宋体" w:hAnsi="宋体" w:eastAsia="宋体" w:cs="宋体"/>
                <w:b/>
                <w:color w:val="auto"/>
                <w:sz w:val="21"/>
                <w:szCs w:val="21"/>
              </w:rPr>
            </w:pPr>
          </w:p>
        </w:tc>
        <w:tc>
          <w:tcPr>
            <w:tcW w:w="1192" w:type="pct"/>
            <w:vMerge w:val="continue"/>
            <w:vAlign w:val="center"/>
          </w:tcPr>
          <w:p>
            <w:pPr>
              <w:pStyle w:val="9"/>
              <w:tabs>
                <w:tab w:val="right" w:leader="dot" w:pos="9060"/>
              </w:tabs>
              <w:spacing w:line="240" w:lineRule="auto"/>
              <w:ind w:firstLine="0" w:firstLineChars="0"/>
              <w:jc w:val="center"/>
              <w:rPr>
                <w:rFonts w:hint="eastAsia" w:ascii="宋体" w:hAnsi="宋体" w:eastAsia="宋体" w:cs="宋体"/>
                <w:b/>
                <w:color w:val="auto"/>
                <w:sz w:val="21"/>
                <w:szCs w:val="21"/>
              </w:rPr>
            </w:pPr>
          </w:p>
        </w:tc>
        <w:tc>
          <w:tcPr>
            <w:tcW w:w="1033" w:type="pct"/>
            <w:vMerge w:val="continue"/>
            <w:shd w:val="clear" w:color="000000" w:fill="D9D9D9"/>
            <w:vAlign w:val="center"/>
          </w:tcPr>
          <w:p>
            <w:pPr>
              <w:pStyle w:val="9"/>
              <w:tabs>
                <w:tab w:val="right" w:leader="dot" w:pos="9060"/>
              </w:tabs>
              <w:spacing w:line="240" w:lineRule="auto"/>
              <w:ind w:firstLine="0" w:firstLineChars="0"/>
              <w:jc w:val="center"/>
              <w:rPr>
                <w:rFonts w:hint="eastAsia" w:ascii="宋体" w:hAnsi="宋体" w:eastAsia="宋体" w:cs="宋体"/>
                <w:b/>
                <w:color w:val="auto"/>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59" w:type="pct"/>
            <w:vMerge w:val="continue"/>
            <w:vAlign w:val="center"/>
          </w:tcPr>
          <w:p>
            <w:pPr>
              <w:pStyle w:val="9"/>
              <w:tabs>
                <w:tab w:val="right" w:leader="dot" w:pos="9060"/>
              </w:tabs>
              <w:spacing w:line="240" w:lineRule="auto"/>
              <w:ind w:firstLine="0" w:firstLineChars="0"/>
              <w:jc w:val="center"/>
              <w:rPr>
                <w:rFonts w:hint="eastAsia" w:ascii="宋体" w:hAnsi="宋体" w:eastAsia="宋体" w:cs="宋体"/>
                <w:color w:val="auto"/>
                <w:sz w:val="21"/>
                <w:szCs w:val="21"/>
              </w:rPr>
            </w:pPr>
          </w:p>
        </w:tc>
        <w:tc>
          <w:tcPr>
            <w:tcW w:w="716" w:type="pct"/>
            <w:vMerge w:val="continue"/>
            <w:vAlign w:val="center"/>
          </w:tcPr>
          <w:p>
            <w:pPr>
              <w:pStyle w:val="9"/>
              <w:tabs>
                <w:tab w:val="right" w:leader="dot" w:pos="9060"/>
              </w:tabs>
              <w:spacing w:line="240" w:lineRule="auto"/>
              <w:ind w:firstLine="0" w:firstLineChars="0"/>
              <w:jc w:val="center"/>
              <w:rPr>
                <w:rFonts w:hint="eastAsia" w:ascii="宋体" w:hAnsi="宋体" w:eastAsia="宋体" w:cs="宋体"/>
                <w:color w:val="auto"/>
                <w:sz w:val="21"/>
                <w:szCs w:val="21"/>
              </w:rPr>
            </w:pPr>
          </w:p>
        </w:tc>
        <w:tc>
          <w:tcPr>
            <w:tcW w:w="1192" w:type="pct"/>
            <w:vMerge w:val="continue"/>
            <w:vAlign w:val="center"/>
          </w:tcPr>
          <w:p>
            <w:pPr>
              <w:pStyle w:val="9"/>
              <w:tabs>
                <w:tab w:val="right" w:leader="dot" w:pos="9060"/>
              </w:tabs>
              <w:spacing w:line="240" w:lineRule="auto"/>
              <w:ind w:firstLine="0" w:firstLineChars="0"/>
              <w:jc w:val="center"/>
              <w:rPr>
                <w:rFonts w:hint="eastAsia" w:ascii="宋体" w:hAnsi="宋体" w:eastAsia="宋体" w:cs="宋体"/>
                <w:color w:val="auto"/>
                <w:sz w:val="21"/>
                <w:szCs w:val="21"/>
              </w:rPr>
            </w:pPr>
          </w:p>
        </w:tc>
        <w:tc>
          <w:tcPr>
            <w:tcW w:w="1033" w:type="pct"/>
            <w:vMerge w:val="continue"/>
            <w:shd w:val="clear" w:color="000000" w:fill="D9D9D9"/>
            <w:vAlign w:val="center"/>
          </w:tcPr>
          <w:p>
            <w:pPr>
              <w:pStyle w:val="9"/>
              <w:tabs>
                <w:tab w:val="right" w:leader="dot" w:pos="9060"/>
              </w:tabs>
              <w:spacing w:line="240" w:lineRule="auto"/>
              <w:ind w:firstLine="0" w:firstLineChars="0"/>
              <w:jc w:val="center"/>
              <w:rPr>
                <w:rFonts w:hint="eastAsia" w:ascii="宋体" w:hAnsi="宋体" w:eastAsia="宋体" w:cs="宋体"/>
                <w:b/>
                <w:color w:val="auto"/>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9" w:type="pct"/>
            <w:shd w:val="clear" w:color="auto" w:fill="auto"/>
            <w:vAlign w:val="center"/>
          </w:tcPr>
          <w:p>
            <w:pPr>
              <w:pStyle w:val="9"/>
              <w:tabs>
                <w:tab w:val="right" w:leader="dot" w:pos="9060"/>
              </w:tabs>
              <w:spacing w:line="240" w:lineRule="auto"/>
              <w:ind w:firstLine="0" w:firstLineChars="0"/>
              <w:jc w:val="left"/>
              <w:rPr>
                <w:rFonts w:hint="eastAsia" w:ascii="宋体" w:hAnsi="宋体" w:eastAsia="宋体" w:cs="宋体"/>
                <w:b/>
                <w:color w:val="auto"/>
                <w:sz w:val="21"/>
                <w:szCs w:val="21"/>
              </w:rPr>
            </w:pPr>
            <w:r>
              <w:rPr>
                <w:rFonts w:hint="eastAsia" w:ascii="宋体" w:hAnsi="宋体" w:eastAsia="宋体" w:cs="宋体"/>
                <w:b/>
                <w:color w:val="auto"/>
                <w:sz w:val="21"/>
                <w:szCs w:val="21"/>
              </w:rPr>
              <w:t>一、公路建设项目</w:t>
            </w:r>
          </w:p>
        </w:tc>
        <w:tc>
          <w:tcPr>
            <w:tcW w:w="716"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53</w:t>
            </w:r>
          </w:p>
        </w:tc>
        <w:tc>
          <w:tcPr>
            <w:tcW w:w="1192"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sz w:val="21"/>
                <w:szCs w:val="21"/>
              </w:rPr>
              <w:t>60.28</w:t>
            </w:r>
          </w:p>
        </w:tc>
        <w:tc>
          <w:tcPr>
            <w:tcW w:w="1033" w:type="pct"/>
            <w:vAlign w:val="center"/>
          </w:tcPr>
          <w:p>
            <w:pPr>
              <w:pStyle w:val="9"/>
              <w:tabs>
                <w:tab w:val="right" w:leader="dot" w:pos="9060"/>
              </w:tabs>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sz w:val="21"/>
                <w:szCs w:val="21"/>
              </w:rPr>
              <w:t>259.44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9" w:type="pct"/>
            <w:shd w:val="clear" w:color="auto" w:fill="auto"/>
            <w:vAlign w:val="center"/>
          </w:tcPr>
          <w:p>
            <w:pPr>
              <w:pStyle w:val="9"/>
              <w:tabs>
                <w:tab w:val="right" w:leader="dot" w:pos="9060"/>
              </w:tabs>
              <w:spacing w:line="24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（一）高快速路</w:t>
            </w:r>
          </w:p>
        </w:tc>
        <w:tc>
          <w:tcPr>
            <w:tcW w:w="716"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1192"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4.30</w:t>
            </w:r>
          </w:p>
        </w:tc>
        <w:tc>
          <w:tcPr>
            <w:tcW w:w="1033" w:type="pct"/>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121.71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9" w:type="pct"/>
            <w:shd w:val="clear" w:color="auto" w:fill="auto"/>
            <w:vAlign w:val="center"/>
          </w:tcPr>
          <w:p>
            <w:pPr>
              <w:pStyle w:val="9"/>
              <w:tabs>
                <w:tab w:val="right" w:leader="dot" w:pos="9060"/>
              </w:tabs>
              <w:spacing w:line="24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（二）普通干线公路</w:t>
            </w:r>
          </w:p>
        </w:tc>
        <w:tc>
          <w:tcPr>
            <w:tcW w:w="716"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1192"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33.33</w:t>
            </w:r>
          </w:p>
        </w:tc>
        <w:tc>
          <w:tcPr>
            <w:tcW w:w="1033" w:type="pct"/>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97.43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9" w:type="pct"/>
            <w:shd w:val="clear" w:color="auto" w:fill="auto"/>
            <w:vAlign w:val="center"/>
          </w:tcPr>
          <w:p>
            <w:pPr>
              <w:pStyle w:val="9"/>
              <w:tabs>
                <w:tab w:val="right" w:leader="dot" w:pos="9060"/>
              </w:tabs>
              <w:spacing w:line="24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（三）四好农村路</w:t>
            </w:r>
          </w:p>
        </w:tc>
        <w:tc>
          <w:tcPr>
            <w:tcW w:w="716"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32</w:t>
            </w:r>
          </w:p>
        </w:tc>
        <w:tc>
          <w:tcPr>
            <w:tcW w:w="1192"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21.90</w:t>
            </w:r>
          </w:p>
        </w:tc>
        <w:tc>
          <w:tcPr>
            <w:tcW w:w="1033" w:type="pct"/>
            <w:vAlign w:val="center"/>
          </w:tcPr>
          <w:p>
            <w:pPr>
              <w:pStyle w:val="9"/>
              <w:tabs>
                <w:tab w:val="right" w:leader="dot" w:pos="9060"/>
              </w:tabs>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39.07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9" w:type="pct"/>
            <w:shd w:val="clear" w:color="auto" w:fill="auto"/>
            <w:vAlign w:val="center"/>
          </w:tcPr>
          <w:p>
            <w:pPr>
              <w:pStyle w:val="9"/>
              <w:tabs>
                <w:tab w:val="right" w:leader="dot" w:pos="9060"/>
              </w:tabs>
              <w:spacing w:line="24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（四）公路安全提升及危旧桥改造</w:t>
            </w:r>
          </w:p>
        </w:tc>
        <w:tc>
          <w:tcPr>
            <w:tcW w:w="716"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192"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sz w:val="21"/>
                <w:szCs w:val="21"/>
              </w:rPr>
              <w:t>0.75</w:t>
            </w:r>
          </w:p>
        </w:tc>
        <w:tc>
          <w:tcPr>
            <w:tcW w:w="1033" w:type="pct"/>
            <w:vAlign w:val="center"/>
          </w:tcPr>
          <w:p>
            <w:pPr>
              <w:pStyle w:val="9"/>
              <w:tabs>
                <w:tab w:val="right" w:leader="dot" w:pos="9060"/>
              </w:tabs>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9" w:type="pct"/>
            <w:shd w:val="clear" w:color="auto" w:fill="auto"/>
            <w:vAlign w:val="center"/>
          </w:tcPr>
          <w:p>
            <w:pPr>
              <w:pStyle w:val="9"/>
              <w:tabs>
                <w:tab w:val="right" w:leader="dot" w:pos="9060"/>
              </w:tabs>
              <w:spacing w:line="240" w:lineRule="auto"/>
              <w:ind w:firstLine="0" w:firstLineChars="0"/>
              <w:jc w:val="left"/>
              <w:rPr>
                <w:rFonts w:hint="eastAsia" w:ascii="宋体" w:hAnsi="宋体" w:eastAsia="宋体" w:cs="宋体"/>
                <w:b/>
                <w:color w:val="auto"/>
                <w:sz w:val="21"/>
                <w:szCs w:val="21"/>
              </w:rPr>
            </w:pPr>
            <w:r>
              <w:rPr>
                <w:rFonts w:hint="eastAsia" w:ascii="宋体" w:hAnsi="宋体" w:eastAsia="宋体" w:cs="宋体"/>
                <w:b/>
                <w:color w:val="auto"/>
                <w:sz w:val="21"/>
                <w:szCs w:val="21"/>
              </w:rPr>
              <w:t>二、客货运枢纽及物流建设项目</w:t>
            </w:r>
          </w:p>
        </w:tc>
        <w:tc>
          <w:tcPr>
            <w:tcW w:w="716"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3</w:t>
            </w:r>
          </w:p>
        </w:tc>
        <w:tc>
          <w:tcPr>
            <w:tcW w:w="1192"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3.20</w:t>
            </w:r>
          </w:p>
        </w:tc>
        <w:tc>
          <w:tcPr>
            <w:tcW w:w="1033" w:type="pct"/>
            <w:vAlign w:val="center"/>
          </w:tcPr>
          <w:p>
            <w:pPr>
              <w:pStyle w:val="9"/>
              <w:tabs>
                <w:tab w:val="right" w:leader="dot" w:pos="9060"/>
              </w:tabs>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10.90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9" w:type="pct"/>
            <w:shd w:val="clear" w:color="auto" w:fill="auto"/>
            <w:vAlign w:val="center"/>
          </w:tcPr>
          <w:p>
            <w:pPr>
              <w:pStyle w:val="9"/>
              <w:tabs>
                <w:tab w:val="right" w:leader="dot" w:pos="9060"/>
              </w:tabs>
              <w:spacing w:line="240" w:lineRule="auto"/>
              <w:ind w:firstLine="0" w:firstLineChars="0"/>
              <w:jc w:val="left"/>
              <w:rPr>
                <w:rFonts w:hint="eastAsia" w:ascii="宋体" w:hAnsi="宋体" w:eastAsia="宋体" w:cs="宋体"/>
                <w:b/>
                <w:color w:val="auto"/>
                <w:sz w:val="21"/>
                <w:szCs w:val="21"/>
              </w:rPr>
            </w:pPr>
            <w:r>
              <w:rPr>
                <w:rFonts w:hint="eastAsia" w:ascii="宋体" w:hAnsi="宋体" w:eastAsia="宋体" w:cs="宋体"/>
                <w:b/>
                <w:color w:val="auto"/>
                <w:sz w:val="21"/>
                <w:szCs w:val="21"/>
              </w:rPr>
              <w:t>三、公共交通建设项目</w:t>
            </w:r>
          </w:p>
        </w:tc>
        <w:tc>
          <w:tcPr>
            <w:tcW w:w="716"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1</w:t>
            </w:r>
          </w:p>
        </w:tc>
        <w:tc>
          <w:tcPr>
            <w:tcW w:w="1192"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5.00</w:t>
            </w:r>
          </w:p>
        </w:tc>
        <w:tc>
          <w:tcPr>
            <w:tcW w:w="1033" w:type="pct"/>
            <w:vAlign w:val="center"/>
          </w:tcPr>
          <w:p>
            <w:pPr>
              <w:pStyle w:val="9"/>
              <w:tabs>
                <w:tab w:val="right" w:leader="dot" w:pos="9060"/>
              </w:tabs>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5.00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9"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合计</w:t>
            </w:r>
          </w:p>
        </w:tc>
        <w:tc>
          <w:tcPr>
            <w:tcW w:w="716" w:type="pct"/>
            <w:shd w:val="clear" w:color="auto" w:fill="auto"/>
            <w:vAlign w:val="center"/>
          </w:tcPr>
          <w:p>
            <w:pPr>
              <w:pStyle w:val="9"/>
              <w:tabs>
                <w:tab w:val="right" w:leader="dot" w:pos="9060"/>
              </w:tabs>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57</w:t>
            </w:r>
          </w:p>
        </w:tc>
        <w:tc>
          <w:tcPr>
            <w:tcW w:w="1192" w:type="pct"/>
            <w:shd w:val="clear" w:color="auto" w:fill="auto"/>
            <w:vAlign w:val="center"/>
          </w:tcPr>
          <w:p>
            <w:pPr>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68.48</w:t>
            </w:r>
          </w:p>
        </w:tc>
        <w:tc>
          <w:tcPr>
            <w:tcW w:w="1033" w:type="pct"/>
            <w:vAlign w:val="center"/>
          </w:tcPr>
          <w:p>
            <w:pPr>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275.34</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rPr>
      </w:pPr>
      <w:r>
        <w:rPr>
          <w:rFonts w:hint="eastAsia" w:ascii="宋体" w:hAnsi="宋体" w:eastAsia="宋体" w:cs="宋体"/>
        </w:rPr>
        <w:drawing>
          <wp:inline distT="0" distB="0" distL="0" distR="0">
            <wp:extent cx="5400040" cy="2346325"/>
            <wp:effectExtent l="4445" t="4445" r="5715" b="1143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图17 海丰县“十四五”交通建设项目数量示意图</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4"/>
          <w:szCs w:val="32"/>
        </w:rPr>
      </w:pPr>
      <w:r>
        <w:rPr>
          <w:rFonts w:hint="eastAsia" w:ascii="宋体" w:hAnsi="宋体" w:eastAsia="宋体" w:cs="宋体"/>
        </w:rPr>
        <w:drawing>
          <wp:inline distT="0" distB="0" distL="0" distR="0">
            <wp:extent cx="5400040" cy="2454275"/>
            <wp:effectExtent l="4445" t="4445" r="5715" b="1778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图18</w:t>
      </w:r>
      <w:r>
        <w:rPr>
          <w:rFonts w:hint="eastAsia" w:ascii="宋体" w:hAnsi="宋体" w:eastAsia="宋体" w:cs="宋体"/>
          <w:b/>
          <w:bCs/>
          <w:color w:val="000000"/>
          <w:sz w:val="21"/>
          <w:szCs w:val="21"/>
          <w:lang w:val="en-US" w:eastAsia="zh-CN"/>
        </w:rPr>
        <w:t xml:space="preserve">  </w:t>
      </w:r>
      <w:r>
        <w:rPr>
          <w:rFonts w:hint="eastAsia" w:ascii="宋体" w:hAnsi="宋体" w:eastAsia="宋体" w:cs="宋体"/>
          <w:b/>
          <w:bCs/>
          <w:color w:val="000000"/>
          <w:sz w:val="21"/>
          <w:szCs w:val="21"/>
        </w:rPr>
        <w:t>海丰县“十四五”交通建设项目数量占比示意图</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4"/>
          <w:szCs w:val="32"/>
        </w:rPr>
      </w:pPr>
      <w:r>
        <w:rPr>
          <w:rFonts w:hint="eastAsia" w:ascii="宋体" w:hAnsi="宋体" w:eastAsia="宋体" w:cs="宋体"/>
        </w:rPr>
        <w:drawing>
          <wp:inline distT="0" distB="0" distL="0" distR="0">
            <wp:extent cx="5400040" cy="2120900"/>
            <wp:effectExtent l="4445" t="4445" r="5715" b="8255"/>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图19</w:t>
      </w:r>
      <w:r>
        <w:rPr>
          <w:rFonts w:hint="eastAsia" w:ascii="宋体" w:hAnsi="宋体" w:eastAsia="宋体" w:cs="宋体"/>
          <w:b/>
          <w:bCs/>
          <w:color w:val="000000"/>
          <w:sz w:val="21"/>
          <w:szCs w:val="21"/>
          <w:lang w:val="en-US" w:eastAsia="zh-CN"/>
        </w:rPr>
        <w:t xml:space="preserve">  </w:t>
      </w:r>
      <w:r>
        <w:rPr>
          <w:rFonts w:hint="eastAsia" w:ascii="宋体" w:hAnsi="宋体" w:eastAsia="宋体" w:cs="宋体"/>
          <w:b/>
          <w:bCs/>
          <w:color w:val="000000"/>
          <w:sz w:val="21"/>
          <w:szCs w:val="21"/>
        </w:rPr>
        <w:t>海丰县交通建设项目“十四五”期间投资总额示意图</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000000"/>
          <w:sz w:val="24"/>
          <w:szCs w:val="32"/>
        </w:rPr>
      </w:pPr>
      <w:r>
        <w:rPr>
          <w:rFonts w:hint="eastAsia" w:ascii="宋体" w:hAnsi="宋体" w:eastAsia="宋体" w:cs="宋体"/>
        </w:rPr>
        <w:drawing>
          <wp:inline distT="0" distB="0" distL="0" distR="0">
            <wp:extent cx="5400040" cy="2150110"/>
            <wp:effectExtent l="5080" t="4445" r="5080" b="17145"/>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图20 海丰县交通建设项目“十四五”期间投资总额占比示意图</w:t>
      </w:r>
    </w:p>
    <w:p>
      <w:pPr>
        <w:rPr>
          <w:rFonts w:hint="eastAsia" w:ascii="宋体" w:hAnsi="宋体" w:eastAsia="宋体" w:cs="宋体"/>
          <w:color w:val="000000"/>
          <w:sz w:val="24"/>
          <w:szCs w:val="32"/>
        </w:rPr>
      </w:pPr>
      <w:r>
        <w:rPr>
          <w:rFonts w:hint="eastAsia" w:ascii="宋体" w:hAnsi="宋体" w:eastAsia="宋体" w:cs="宋体"/>
          <w:color w:val="000000"/>
          <w:sz w:val="24"/>
          <w:szCs w:val="32"/>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000000"/>
          <w:sz w:val="44"/>
          <w:szCs w:val="44"/>
        </w:rPr>
      </w:pPr>
      <w:r>
        <w:rPr>
          <w:rFonts w:hint="eastAsia" w:ascii="宋体" w:hAnsi="宋体" w:eastAsia="宋体" w:cs="宋体"/>
          <w:color w:val="000000"/>
          <w:sz w:val="44"/>
          <w:szCs w:val="44"/>
        </w:rPr>
        <w:t>第九章</w:t>
      </w:r>
      <w:r>
        <w:rPr>
          <w:rFonts w:hint="eastAsia" w:ascii="宋体" w:hAnsi="宋体" w:eastAsia="宋体" w:cs="宋体"/>
          <w:color w:val="000000"/>
          <w:sz w:val="44"/>
          <w:szCs w:val="44"/>
          <w:lang w:val="en-US" w:eastAsia="zh-CN"/>
        </w:rPr>
        <w:t xml:space="preserve">  </w:t>
      </w:r>
      <w:r>
        <w:rPr>
          <w:rFonts w:hint="eastAsia" w:ascii="宋体" w:hAnsi="宋体" w:eastAsia="宋体" w:cs="宋体"/>
          <w:color w:val="000000"/>
          <w:sz w:val="44"/>
          <w:szCs w:val="44"/>
        </w:rPr>
        <w:t>保障措施</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第一节 加强组织领导协调</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十四五”时期，是建设高质量现代化综合交通运输体系的关键时期，交通重大项目建设任务更多、难度更大，需要相关部门给予更大的支持，各有关部门要加强沟通配合，建立重大交通项目建设协调会商制度，及时研究协调重大项目前期工作中涉及土地、选址、环保、资金等方面的突出问题，按年度分解明确各有关部门的目标任务，确保规划确定的各项目标和任务有序推进。要紧密结合发展实际，细化落实规划确定的主要目标和重点任务，统筹协调推进综合交通运输发展的重大项目、重大工程。将交通重大项目推进的相关工作任务完成情况纳入年度考核范畴，形成共同推进的工作格局，确保规划落到实处。</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第二节 强化投资机制保障</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全力做好交通建设资金保障，按照“政府主导、分级负责、多元筹资、规范高效”的原则，完善政府主导的交通运输基础设施公共财政保障制度，强化各级财政保障。积极争取国家和省市专项投资补助，整合有关资源，有效利用既有建设资金，扩充融资模式，实现全县交通运输业滚动、可持续发展；以资本为纽带，积极吸纳社会资金，拓展投融资渠道；完善政府补贴机制，通过沿线开发等方式实现外部效益内部化，提高综合运输体系的经济和社会效益。对于具备条件的部分交通建设项目，积极探索采取BT、BOT、EPC等模式，加快海丰交通基础设施建设步伐。</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第三节 重视相关规划衔接</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注重规划与全县国民经济和社会发展规划、城镇体系发展规划、国土空间规划等相关规划的相互平衡、相互衔接。加强与县自然资源和规划局、县文广旅体局、县农业农村局等相关部门的沟通和协调，将公路、客运枢纽、物流园区等基础设施建设用地纳入国土空间规划范围；明确客货运枢纽的公益属性，保障交通基础设施用地需求，结合相应的土地优惠政策，降低运输企业的运营成本。</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第四节 注重人才队伍建设</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加快人才队伍建设，建立健全人才使用与激励机制，强化人才资金保障，促进人才交流合作。以用人单位制度建设为载体，建立切合本单位实际的收入分配制度，加大收入分配向一线部门业务骨干倾斜的力度，大幅度提高优秀拔尖人才的收入待遇与保健待遇，鼓励和支持业务骨干潜心于一线科研开发与工程技术工作；积极争取在政府公共财政预算中，建立交通运输人才发展专项资金，用于资助科技领军人才、优秀青年人才、急需紧缺人才的培养。加大人才交流合作，鼓励和支持专业技术人员坚持走职业化、专业化道路。</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第五节 提升宣传引导能力</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r>
        <w:rPr>
          <w:rFonts w:hint="eastAsia" w:ascii="宋体" w:hAnsi="宋体" w:eastAsia="宋体" w:cs="宋体"/>
          <w:color w:val="000000"/>
          <w:sz w:val="24"/>
          <w:szCs w:val="32"/>
        </w:rPr>
        <w:t>交通运输作为关系国计民生的社会性、服务性公益事业，与老百姓的生活息息相关。应最大限度地协调用好各方各类宣传资源，紧紧抓住关系全局、影响全局、推动全局的交通运输发展的重大关键问题和涉及群众切身利益、社会广泛关注的难点热点问题，针对电视、广播、报刊、网络等媒体的不同特点，发挥各自优势，综合利用，让更多的干部、民众了解并参与到“十四五”交通运输发展规划的建设当中，集思广益，形成合力，使“十四五”规划落到实处。</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宋体" w:hAnsi="宋体" w:eastAsia="宋体" w:cs="宋体"/>
          <w:color w:val="000000"/>
          <w:sz w:val="44"/>
          <w:szCs w:val="44"/>
        </w:rPr>
      </w:pPr>
      <w:r>
        <w:rPr>
          <w:rFonts w:hint="eastAsia" w:ascii="宋体" w:hAnsi="宋体" w:eastAsia="宋体" w:cs="宋体"/>
          <w:color w:val="000000"/>
          <w:sz w:val="44"/>
          <w:szCs w:val="44"/>
        </w:rPr>
        <w:t>附  表</w:t>
      </w: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附表1 海丰县“十四五”重大交通基础设施建设项目表</w:t>
      </w:r>
    </w:p>
    <w:tbl>
      <w:tblPr>
        <w:tblStyle w:val="5"/>
        <w:tblW w:w="860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23"/>
        <w:gridCol w:w="329"/>
        <w:gridCol w:w="1395"/>
        <w:gridCol w:w="1275"/>
        <w:gridCol w:w="660"/>
        <w:gridCol w:w="600"/>
        <w:gridCol w:w="637"/>
        <w:gridCol w:w="758"/>
        <w:gridCol w:w="874"/>
        <w:gridCol w:w="911"/>
        <w:gridCol w:w="84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378" w:type="pct"/>
            <w:gridSpan w:val="2"/>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810"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项目名称</w:t>
            </w:r>
          </w:p>
        </w:tc>
        <w:tc>
          <w:tcPr>
            <w:tcW w:w="741"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建设内容及规模</w:t>
            </w:r>
          </w:p>
        </w:tc>
        <w:tc>
          <w:tcPr>
            <w:tcW w:w="383"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建设进度</w:t>
            </w:r>
          </w:p>
        </w:tc>
        <w:tc>
          <w:tcPr>
            <w:tcW w:w="348"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启动时间</w:t>
            </w:r>
          </w:p>
        </w:tc>
        <w:tc>
          <w:tcPr>
            <w:tcW w:w="370"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完成时间</w:t>
            </w:r>
          </w:p>
        </w:tc>
        <w:tc>
          <w:tcPr>
            <w:tcW w:w="440"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总投资</w:t>
            </w:r>
          </w:p>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（万元）</w:t>
            </w:r>
          </w:p>
        </w:tc>
        <w:tc>
          <w:tcPr>
            <w:tcW w:w="508"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十四五投资</w:t>
            </w:r>
          </w:p>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（万元）</w:t>
            </w:r>
          </w:p>
        </w:tc>
        <w:tc>
          <w:tcPr>
            <w:tcW w:w="529"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责任部门</w:t>
            </w:r>
          </w:p>
        </w:tc>
        <w:tc>
          <w:tcPr>
            <w:tcW w:w="488" w:type="pct"/>
            <w:shd w:val="clear" w:color="auto" w:fill="D8D8D8" w:themeFill="background1" w:themeFillShade="D9"/>
            <w:vAlign w:val="center"/>
          </w:tcPr>
          <w:p>
            <w:pPr>
              <w:widowControl/>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纳入上位规划情况</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189" w:type="pct"/>
            <w:gridSpan w:val="3"/>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总计</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440" w:type="pct"/>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2753453</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684477</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488" w:type="pct"/>
            <w:shd w:val="clear" w:color="auto" w:fill="auto"/>
            <w:vAlign w:val="center"/>
          </w:tcPr>
          <w:p>
            <w:pPr>
              <w:widowControl/>
              <w:jc w:val="center"/>
              <w:rPr>
                <w:rFonts w:hint="eastAsia" w:ascii="宋体" w:hAnsi="宋体" w:eastAsia="宋体" w:cs="宋体"/>
                <w:b/>
                <w:bCs/>
                <w:kern w:val="0"/>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189" w:type="pct"/>
            <w:gridSpan w:val="3"/>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一、公路建设项目</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440" w:type="pct"/>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2594453</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602477</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488" w:type="pct"/>
            <w:shd w:val="clear" w:color="auto" w:fill="auto"/>
            <w:vAlign w:val="center"/>
          </w:tcPr>
          <w:p>
            <w:pPr>
              <w:widowControl/>
              <w:jc w:val="center"/>
              <w:rPr>
                <w:rFonts w:hint="eastAsia" w:ascii="宋体" w:hAnsi="宋体" w:eastAsia="宋体" w:cs="宋体"/>
                <w:b/>
                <w:bCs/>
                <w:kern w:val="0"/>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189" w:type="pct"/>
            <w:gridSpan w:val="3"/>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（一）高快速路</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全长约109.42公里</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440" w:type="pct"/>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1217140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43000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488" w:type="pct"/>
            <w:shd w:val="clear" w:color="auto" w:fill="auto"/>
            <w:vAlign w:val="center"/>
          </w:tcPr>
          <w:p>
            <w:pPr>
              <w:widowControl/>
              <w:jc w:val="center"/>
              <w:rPr>
                <w:rFonts w:hint="eastAsia" w:ascii="宋体" w:hAnsi="宋体" w:eastAsia="宋体" w:cs="宋体"/>
                <w:b/>
                <w:bCs/>
                <w:kern w:val="0"/>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388"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甬莞与沈海高速公路海丰联络线</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全长约18公里，双向四车道，设计速度100公里/小时</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开展规划研究工作</w:t>
            </w: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2025</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2030</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264000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10000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省高速公路公司、海丰县</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争取纳入省级以上规划</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971"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潮惠高速海城互通及服务区</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新建高速出入口、匝道及服务区</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开展规划研究工作</w:t>
            </w: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2021</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2026</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30000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30000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省高速公路公司、海丰县</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省级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海丰至赤石（高铁站）一级公路海丰段建设工程（赤梅快速路）</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全长约10.52公里，双向六车道，设计速度80公里/小时</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开展规划研究工作</w:t>
            </w: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2025</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2030</w:t>
            </w:r>
          </w:p>
        </w:tc>
        <w:tc>
          <w:tcPr>
            <w:tcW w:w="440" w:type="pct"/>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201516</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500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深汕特别合作区、海丰县</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市级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403"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海丰县城北五环（海丰城东至梅陇段）公路建设工程（融湾大道）</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全长约25公里，双向四车道，设计速度80公里/小时</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开展规划研究工作</w:t>
            </w: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2025</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2030</w:t>
            </w:r>
          </w:p>
        </w:tc>
        <w:tc>
          <w:tcPr>
            <w:tcW w:w="440" w:type="pct"/>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193624</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500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海丰县交通运输局</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373"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海丰县南五环建设工程项目</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全长约36.4公里，双向四车道，设计速度80公里/小时</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开展规划研究工作</w:t>
            </w: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2025</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2030</w:t>
            </w:r>
          </w:p>
        </w:tc>
        <w:tc>
          <w:tcPr>
            <w:tcW w:w="440" w:type="pct"/>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288000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1000</w:t>
            </w:r>
          </w:p>
        </w:tc>
        <w:tc>
          <w:tcPr>
            <w:tcW w:w="529"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海丰县交通运输局</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6</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6</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融深快线</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全长约8.5公里，双向六车道，设计速度80公里/小时</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开展规划研究工作</w:t>
            </w: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2025</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2030</w:t>
            </w:r>
          </w:p>
        </w:tc>
        <w:tc>
          <w:tcPr>
            <w:tcW w:w="440" w:type="pct"/>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150000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500</w:t>
            </w:r>
          </w:p>
        </w:tc>
        <w:tc>
          <w:tcPr>
            <w:tcW w:w="529"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海丰县交通运输局</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北三环快速化改造工程</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全长约11公里，双向六车道，设计速度80公里/小时</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开展规划研究工作</w:t>
            </w: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2025</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2030</w:t>
            </w:r>
          </w:p>
        </w:tc>
        <w:tc>
          <w:tcPr>
            <w:tcW w:w="440" w:type="pct"/>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90000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500</w:t>
            </w:r>
          </w:p>
        </w:tc>
        <w:tc>
          <w:tcPr>
            <w:tcW w:w="529"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海丰县交通运输局</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189" w:type="pct"/>
            <w:gridSpan w:val="3"/>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（二）普通干线公路</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全长约146.16公里</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440" w:type="pct"/>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974340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333270</w:t>
            </w:r>
          </w:p>
        </w:tc>
        <w:tc>
          <w:tcPr>
            <w:tcW w:w="529"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海丰县交通运输局</w:t>
            </w:r>
          </w:p>
        </w:tc>
        <w:tc>
          <w:tcPr>
            <w:tcW w:w="488"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8</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国道G228线路面升级改造工程</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全长约20公里</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开展规划研究工作</w:t>
            </w: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2022</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2025</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10000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10000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海丰县交通运输局</w:t>
            </w:r>
          </w:p>
        </w:tc>
        <w:tc>
          <w:tcPr>
            <w:tcW w:w="48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市级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9</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国道G235线海丰县公平镇过境段改建工程</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全长约8.06公里，一级公路双向六车道</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开展规划研究工作</w:t>
            </w: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2025</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2030</w:t>
            </w:r>
          </w:p>
        </w:tc>
        <w:tc>
          <w:tcPr>
            <w:tcW w:w="440" w:type="pct"/>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62988</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500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海丰县交通运输局</w:t>
            </w:r>
          </w:p>
        </w:tc>
        <w:tc>
          <w:tcPr>
            <w:tcW w:w="48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市级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10</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国道G235线南坑至公平镇段改造工程</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全长约9.36公里，一级公路双向六车道</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开展规划研究工作</w:t>
            </w: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2025</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2030</w:t>
            </w:r>
          </w:p>
        </w:tc>
        <w:tc>
          <w:tcPr>
            <w:tcW w:w="440" w:type="pct"/>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75048</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500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海丰县交通运输局</w:t>
            </w:r>
          </w:p>
        </w:tc>
        <w:tc>
          <w:tcPr>
            <w:tcW w:w="48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市级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11</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国道G236线海丰县公平镇至东园村段改建工程</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全长约6公里，一级公路双向六车道</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开展规划研究工作</w:t>
            </w: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2022</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2026</w:t>
            </w:r>
          </w:p>
        </w:tc>
        <w:tc>
          <w:tcPr>
            <w:tcW w:w="440" w:type="pct"/>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29500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19070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公平镇人民政府</w:t>
            </w:r>
            <w:r>
              <w:rPr>
                <w:rFonts w:hint="eastAsia" w:ascii="宋体" w:hAnsi="宋体" w:eastAsia="宋体" w:cs="宋体"/>
                <w:color w:val="auto"/>
                <w:sz w:val="18"/>
                <w:szCs w:val="18"/>
              </w:rPr>
              <w:tab/>
            </w:r>
          </w:p>
        </w:tc>
        <w:tc>
          <w:tcPr>
            <w:tcW w:w="48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市级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12</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国道G236线海丰县高潭岭至公平段改建工程</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全长约17.37公里，一级公路双向六车道</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开展规划研究工作</w:t>
            </w: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2025</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2030</w:t>
            </w:r>
          </w:p>
        </w:tc>
        <w:tc>
          <w:tcPr>
            <w:tcW w:w="440" w:type="pct"/>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131425</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500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海丰县交通运输局</w:t>
            </w:r>
          </w:p>
        </w:tc>
        <w:tc>
          <w:tcPr>
            <w:tcW w:w="48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省级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13</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6</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国道G236线海丰县城过境段改建工程</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全长约4.82公里，一级公路双向六车道</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开展规划研究工作</w:t>
            </w: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2025</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2030</w:t>
            </w:r>
          </w:p>
        </w:tc>
        <w:tc>
          <w:tcPr>
            <w:tcW w:w="440" w:type="pct"/>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82399</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500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海丰县交通运输局</w:t>
            </w:r>
          </w:p>
        </w:tc>
        <w:tc>
          <w:tcPr>
            <w:tcW w:w="48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市级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14</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广东省汕尾市海丰可塘至深汕合作区基础设施建设项目</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全长约37.6公里，一级公路双向六车道</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工可阶段</w:t>
            </w: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2022</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2025</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270900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223900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海丰县交通运输局</w:t>
            </w:r>
          </w:p>
        </w:tc>
        <w:tc>
          <w:tcPr>
            <w:tcW w:w="48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省级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15</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8</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省道S241线海丰县可塘至海丰东互通段改造工程</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全长约8公里</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开展规划研究工作</w:t>
            </w: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2024</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2027</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72000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20000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海丰县交通运输局</w:t>
            </w:r>
          </w:p>
        </w:tc>
        <w:tc>
          <w:tcPr>
            <w:tcW w:w="48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市级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16</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9</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省道S510线黄羌至平东段改造工程</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全长约35公里，二级公路</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开展规划研究工作</w:t>
            </w: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2023</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2027</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175000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10000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海丰县交通运输局</w:t>
            </w:r>
          </w:p>
        </w:tc>
        <w:tc>
          <w:tcPr>
            <w:tcW w:w="48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市级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106"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17</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10</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海丰县南三环海丽大道互通工程</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开展规划研究工作</w:t>
            </w: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2023</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2025</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45300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45300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海丰县交通运输局</w:t>
            </w:r>
          </w:p>
        </w:tc>
        <w:tc>
          <w:tcPr>
            <w:tcW w:w="48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715"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18</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11</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海丰县莲花山与北三环交叉口改造工程</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莲花大道主线以高架桥形式上跨北三环，设计速度60公里/小时</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工可阶段</w:t>
            </w: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2024</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2027</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19780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3000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海丰县交通运输局</w:t>
            </w:r>
          </w:p>
        </w:tc>
        <w:tc>
          <w:tcPr>
            <w:tcW w:w="48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189" w:type="pct"/>
            <w:gridSpan w:val="3"/>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（三）四好农村路</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bCs/>
                <w:sz w:val="18"/>
                <w:szCs w:val="18"/>
              </w:rPr>
              <w:t>全长约512.05公里</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440" w:type="pct"/>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390645</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218752</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488" w:type="pct"/>
            <w:shd w:val="clear" w:color="auto" w:fill="auto"/>
            <w:vAlign w:val="center"/>
          </w:tcPr>
          <w:p>
            <w:pPr>
              <w:widowControl/>
              <w:jc w:val="center"/>
              <w:rPr>
                <w:rFonts w:hint="eastAsia" w:ascii="宋体" w:hAnsi="宋体" w:eastAsia="宋体" w:cs="宋体"/>
                <w:b/>
                <w:kern w:val="0"/>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19</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县道X127线升级改造项目</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全长约6.5公里</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2022</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2023</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1950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1950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海丰县交通运输局</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县道X129线升级改造项目</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全长约32.59公里</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2022</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2025</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9777</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9777</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海丰交通运输局</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21</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县道X130线升级改造项目</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全长约9.74公里</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2022</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2024</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2910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2910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海丰县交通运输局</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22</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县道X804线梅陇至梅尖升级改造项目</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全长约10.93公里</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2022</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2024</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3280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3280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海丰交通运输局</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23</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海丰县通建制村双车道公路建设项目</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全长约101公里</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2021</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2025</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16286</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16286</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海丰县交通运输局</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24</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6</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海丰县衔接高速公路的农村公路四升三项目</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全长约15公里</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2022</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2025</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3338</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2670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海丰县交通运输局</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25</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海丰县衔接普通国省道的农村公路单改双项目</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全长约120公里</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2022</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2025</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19200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19200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海丰县交通运输局</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26</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8</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海丰县人居整治村委通自然村村道硬底化项目</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全长约24.5公里</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2023</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2025</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1960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1960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海丰县交通运输局</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27</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9</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海丰县道山至大液桥公路建设项目</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全长约11公里</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2023</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2024</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5000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5000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海丰县交通运输局</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28</w:t>
            </w:r>
          </w:p>
        </w:tc>
        <w:tc>
          <w:tcPr>
            <w:tcW w:w="191"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10</w:t>
            </w:r>
          </w:p>
        </w:tc>
        <w:tc>
          <w:tcPr>
            <w:tcW w:w="81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海丰县新北村至城区东涌海丰段建设项目</w:t>
            </w:r>
          </w:p>
        </w:tc>
        <w:tc>
          <w:tcPr>
            <w:tcW w:w="741"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全长约18公里</w:t>
            </w:r>
          </w:p>
        </w:tc>
        <w:tc>
          <w:tcPr>
            <w:tcW w:w="38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p>
        </w:tc>
        <w:tc>
          <w:tcPr>
            <w:tcW w:w="34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2024</w:t>
            </w:r>
          </w:p>
        </w:tc>
        <w:tc>
          <w:tcPr>
            <w:tcW w:w="37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2026</w:t>
            </w:r>
          </w:p>
        </w:tc>
        <w:tc>
          <w:tcPr>
            <w:tcW w:w="440" w:type="pct"/>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sz w:val="18"/>
                <w:szCs w:val="18"/>
              </w:rPr>
              <w:t>9800</w:t>
            </w:r>
          </w:p>
        </w:tc>
        <w:tc>
          <w:tcPr>
            <w:tcW w:w="50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5300</w:t>
            </w:r>
          </w:p>
        </w:tc>
        <w:tc>
          <w:tcPr>
            <w:tcW w:w="52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海丰县交通运输局</w:t>
            </w:r>
          </w:p>
        </w:tc>
        <w:tc>
          <w:tcPr>
            <w:tcW w:w="488"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29</w:t>
            </w:r>
          </w:p>
        </w:tc>
        <w:tc>
          <w:tcPr>
            <w:tcW w:w="191"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11</w:t>
            </w:r>
          </w:p>
        </w:tc>
        <w:tc>
          <w:tcPr>
            <w:tcW w:w="81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海丰县罗山至潭西公路建设项目</w:t>
            </w:r>
          </w:p>
        </w:tc>
        <w:tc>
          <w:tcPr>
            <w:tcW w:w="741"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全长约19公里</w:t>
            </w:r>
          </w:p>
        </w:tc>
        <w:tc>
          <w:tcPr>
            <w:tcW w:w="38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p>
        </w:tc>
        <w:tc>
          <w:tcPr>
            <w:tcW w:w="34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2024</w:t>
            </w:r>
          </w:p>
        </w:tc>
        <w:tc>
          <w:tcPr>
            <w:tcW w:w="37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2026</w:t>
            </w:r>
          </w:p>
        </w:tc>
        <w:tc>
          <w:tcPr>
            <w:tcW w:w="440" w:type="pct"/>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sz w:val="18"/>
                <w:szCs w:val="18"/>
              </w:rPr>
              <w:t>7315</w:t>
            </w:r>
          </w:p>
        </w:tc>
        <w:tc>
          <w:tcPr>
            <w:tcW w:w="50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6315</w:t>
            </w:r>
          </w:p>
        </w:tc>
        <w:tc>
          <w:tcPr>
            <w:tcW w:w="52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海丰县交通运输局</w:t>
            </w:r>
          </w:p>
        </w:tc>
        <w:tc>
          <w:tcPr>
            <w:tcW w:w="488"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30</w:t>
            </w:r>
          </w:p>
        </w:tc>
        <w:tc>
          <w:tcPr>
            <w:tcW w:w="191"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12</w:t>
            </w:r>
          </w:p>
        </w:tc>
        <w:tc>
          <w:tcPr>
            <w:tcW w:w="81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潮惠出口连接线至广泰元农业科技</w:t>
            </w:r>
          </w:p>
        </w:tc>
        <w:tc>
          <w:tcPr>
            <w:tcW w:w="741"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全长约3公里</w:t>
            </w:r>
          </w:p>
        </w:tc>
        <w:tc>
          <w:tcPr>
            <w:tcW w:w="38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p>
        </w:tc>
        <w:tc>
          <w:tcPr>
            <w:tcW w:w="34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2022</w:t>
            </w:r>
          </w:p>
        </w:tc>
        <w:tc>
          <w:tcPr>
            <w:tcW w:w="37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2023</w:t>
            </w:r>
          </w:p>
        </w:tc>
        <w:tc>
          <w:tcPr>
            <w:tcW w:w="440" w:type="pct"/>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sz w:val="18"/>
                <w:szCs w:val="18"/>
              </w:rPr>
              <w:t>500</w:t>
            </w:r>
          </w:p>
        </w:tc>
        <w:tc>
          <w:tcPr>
            <w:tcW w:w="50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500</w:t>
            </w:r>
          </w:p>
        </w:tc>
        <w:tc>
          <w:tcPr>
            <w:tcW w:w="52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梅陇镇人民政府</w:t>
            </w:r>
          </w:p>
        </w:tc>
        <w:tc>
          <w:tcPr>
            <w:tcW w:w="488"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31</w:t>
            </w:r>
          </w:p>
        </w:tc>
        <w:tc>
          <w:tcPr>
            <w:tcW w:w="191"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13</w:t>
            </w:r>
          </w:p>
        </w:tc>
        <w:tc>
          <w:tcPr>
            <w:tcW w:w="81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梅陇中路至梅陇农场路段</w:t>
            </w:r>
          </w:p>
        </w:tc>
        <w:tc>
          <w:tcPr>
            <w:tcW w:w="741"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全长约1公里</w:t>
            </w:r>
          </w:p>
        </w:tc>
        <w:tc>
          <w:tcPr>
            <w:tcW w:w="38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p>
        </w:tc>
        <w:tc>
          <w:tcPr>
            <w:tcW w:w="34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2022</w:t>
            </w:r>
          </w:p>
        </w:tc>
        <w:tc>
          <w:tcPr>
            <w:tcW w:w="37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2023</w:t>
            </w:r>
          </w:p>
        </w:tc>
        <w:tc>
          <w:tcPr>
            <w:tcW w:w="440" w:type="pct"/>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sz w:val="18"/>
                <w:szCs w:val="18"/>
              </w:rPr>
              <w:t>300</w:t>
            </w:r>
          </w:p>
        </w:tc>
        <w:tc>
          <w:tcPr>
            <w:tcW w:w="50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300</w:t>
            </w:r>
          </w:p>
        </w:tc>
        <w:tc>
          <w:tcPr>
            <w:tcW w:w="52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梅陇镇人民政府</w:t>
            </w:r>
          </w:p>
        </w:tc>
        <w:tc>
          <w:tcPr>
            <w:tcW w:w="488"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32</w:t>
            </w:r>
          </w:p>
        </w:tc>
        <w:tc>
          <w:tcPr>
            <w:tcW w:w="191"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14</w:t>
            </w:r>
          </w:p>
        </w:tc>
        <w:tc>
          <w:tcPr>
            <w:tcW w:w="81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后围徐村道（东一村至后围齐）</w:t>
            </w:r>
          </w:p>
        </w:tc>
        <w:tc>
          <w:tcPr>
            <w:tcW w:w="741"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全长约0.5公里</w:t>
            </w:r>
          </w:p>
        </w:tc>
        <w:tc>
          <w:tcPr>
            <w:tcW w:w="38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p>
        </w:tc>
        <w:tc>
          <w:tcPr>
            <w:tcW w:w="34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2022</w:t>
            </w:r>
          </w:p>
        </w:tc>
        <w:tc>
          <w:tcPr>
            <w:tcW w:w="37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2023</w:t>
            </w:r>
          </w:p>
        </w:tc>
        <w:tc>
          <w:tcPr>
            <w:tcW w:w="440" w:type="pct"/>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sz w:val="18"/>
                <w:szCs w:val="18"/>
              </w:rPr>
              <w:t>200</w:t>
            </w:r>
          </w:p>
        </w:tc>
        <w:tc>
          <w:tcPr>
            <w:tcW w:w="50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200</w:t>
            </w:r>
          </w:p>
        </w:tc>
        <w:tc>
          <w:tcPr>
            <w:tcW w:w="52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梅陇镇人民政府</w:t>
            </w:r>
          </w:p>
        </w:tc>
        <w:tc>
          <w:tcPr>
            <w:tcW w:w="488"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33</w:t>
            </w:r>
          </w:p>
        </w:tc>
        <w:tc>
          <w:tcPr>
            <w:tcW w:w="191"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15</w:t>
            </w:r>
          </w:p>
        </w:tc>
        <w:tc>
          <w:tcPr>
            <w:tcW w:w="81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东风路口至潮惠出口连接线</w:t>
            </w:r>
          </w:p>
        </w:tc>
        <w:tc>
          <w:tcPr>
            <w:tcW w:w="741"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全长约6.1公里</w:t>
            </w:r>
          </w:p>
        </w:tc>
        <w:tc>
          <w:tcPr>
            <w:tcW w:w="38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p>
        </w:tc>
        <w:tc>
          <w:tcPr>
            <w:tcW w:w="34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2022</w:t>
            </w:r>
          </w:p>
        </w:tc>
        <w:tc>
          <w:tcPr>
            <w:tcW w:w="37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2023</w:t>
            </w:r>
          </w:p>
        </w:tc>
        <w:tc>
          <w:tcPr>
            <w:tcW w:w="440" w:type="pct"/>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sz w:val="18"/>
                <w:szCs w:val="18"/>
              </w:rPr>
              <w:t>1200</w:t>
            </w:r>
          </w:p>
        </w:tc>
        <w:tc>
          <w:tcPr>
            <w:tcW w:w="50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1200</w:t>
            </w:r>
          </w:p>
        </w:tc>
        <w:tc>
          <w:tcPr>
            <w:tcW w:w="52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梅陇镇人民政府</w:t>
            </w:r>
          </w:p>
        </w:tc>
        <w:tc>
          <w:tcPr>
            <w:tcW w:w="488"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34</w:t>
            </w:r>
          </w:p>
        </w:tc>
        <w:tc>
          <w:tcPr>
            <w:tcW w:w="191"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16</w:t>
            </w:r>
          </w:p>
        </w:tc>
        <w:tc>
          <w:tcPr>
            <w:tcW w:w="81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海丰县梅陇农场梅联公路及国道G324线至农场主干线道路升级工程</w:t>
            </w:r>
          </w:p>
        </w:tc>
        <w:tc>
          <w:tcPr>
            <w:tcW w:w="741"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全长约18公里</w:t>
            </w:r>
          </w:p>
        </w:tc>
        <w:tc>
          <w:tcPr>
            <w:tcW w:w="38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p>
        </w:tc>
        <w:tc>
          <w:tcPr>
            <w:tcW w:w="34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2023</w:t>
            </w:r>
          </w:p>
        </w:tc>
        <w:tc>
          <w:tcPr>
            <w:tcW w:w="37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2025</w:t>
            </w:r>
          </w:p>
        </w:tc>
        <w:tc>
          <w:tcPr>
            <w:tcW w:w="440" w:type="pct"/>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sz w:val="18"/>
                <w:szCs w:val="18"/>
              </w:rPr>
              <w:t>2500</w:t>
            </w:r>
          </w:p>
        </w:tc>
        <w:tc>
          <w:tcPr>
            <w:tcW w:w="50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1250</w:t>
            </w:r>
          </w:p>
        </w:tc>
        <w:tc>
          <w:tcPr>
            <w:tcW w:w="52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梅陇农场</w:t>
            </w:r>
          </w:p>
        </w:tc>
        <w:tc>
          <w:tcPr>
            <w:tcW w:w="488"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sz w:val="18"/>
                <w:szCs w:val="18"/>
              </w:rPr>
              <w:t>35</w:t>
            </w:r>
          </w:p>
        </w:tc>
        <w:tc>
          <w:tcPr>
            <w:tcW w:w="191"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17</w:t>
            </w:r>
          </w:p>
        </w:tc>
        <w:tc>
          <w:tcPr>
            <w:tcW w:w="81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省道S335线（双墩）至陆丰西南（海丰段）公路工程二期工程</w:t>
            </w:r>
          </w:p>
        </w:tc>
        <w:tc>
          <w:tcPr>
            <w:tcW w:w="741"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全长约7.97公里</w:t>
            </w:r>
          </w:p>
        </w:tc>
        <w:tc>
          <w:tcPr>
            <w:tcW w:w="38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p>
        </w:tc>
        <w:tc>
          <w:tcPr>
            <w:tcW w:w="34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2023</w:t>
            </w:r>
          </w:p>
        </w:tc>
        <w:tc>
          <w:tcPr>
            <w:tcW w:w="37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2025</w:t>
            </w:r>
          </w:p>
        </w:tc>
        <w:tc>
          <w:tcPr>
            <w:tcW w:w="440" w:type="pct"/>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sz w:val="18"/>
                <w:szCs w:val="18"/>
              </w:rPr>
              <w:t>1700</w:t>
            </w:r>
          </w:p>
        </w:tc>
        <w:tc>
          <w:tcPr>
            <w:tcW w:w="50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1725</w:t>
            </w:r>
          </w:p>
        </w:tc>
        <w:tc>
          <w:tcPr>
            <w:tcW w:w="52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平东镇人民政府</w:t>
            </w:r>
          </w:p>
        </w:tc>
        <w:tc>
          <w:tcPr>
            <w:tcW w:w="488"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821" w:hRule="atLeast"/>
          <w:jc w:val="center"/>
        </w:trPr>
        <w:tc>
          <w:tcPr>
            <w:tcW w:w="18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sz w:val="18"/>
                <w:szCs w:val="18"/>
              </w:rPr>
              <w:t>36</w:t>
            </w:r>
          </w:p>
        </w:tc>
        <w:tc>
          <w:tcPr>
            <w:tcW w:w="191"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18</w:t>
            </w:r>
          </w:p>
        </w:tc>
        <w:tc>
          <w:tcPr>
            <w:tcW w:w="81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平东镇“平龙小镇”道路建设工程</w:t>
            </w:r>
          </w:p>
        </w:tc>
        <w:tc>
          <w:tcPr>
            <w:tcW w:w="741"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全长约14.9公里</w:t>
            </w:r>
          </w:p>
        </w:tc>
        <w:tc>
          <w:tcPr>
            <w:tcW w:w="38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p>
        </w:tc>
        <w:tc>
          <w:tcPr>
            <w:tcW w:w="34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2022</w:t>
            </w:r>
          </w:p>
        </w:tc>
        <w:tc>
          <w:tcPr>
            <w:tcW w:w="37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2024</w:t>
            </w:r>
          </w:p>
        </w:tc>
        <w:tc>
          <w:tcPr>
            <w:tcW w:w="440" w:type="pct"/>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sz w:val="18"/>
                <w:szCs w:val="18"/>
              </w:rPr>
              <w:t>39700</w:t>
            </w:r>
          </w:p>
        </w:tc>
        <w:tc>
          <w:tcPr>
            <w:tcW w:w="50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39700</w:t>
            </w:r>
          </w:p>
        </w:tc>
        <w:tc>
          <w:tcPr>
            <w:tcW w:w="52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平东镇人民政府</w:t>
            </w:r>
          </w:p>
        </w:tc>
        <w:tc>
          <w:tcPr>
            <w:tcW w:w="488"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sz w:val="18"/>
                <w:szCs w:val="18"/>
              </w:rPr>
              <w:t>37</w:t>
            </w:r>
          </w:p>
        </w:tc>
        <w:tc>
          <w:tcPr>
            <w:tcW w:w="191"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19</w:t>
            </w:r>
          </w:p>
        </w:tc>
        <w:tc>
          <w:tcPr>
            <w:tcW w:w="81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海城镇万中村委万中至夏村公路建设工程</w:t>
            </w:r>
          </w:p>
        </w:tc>
        <w:tc>
          <w:tcPr>
            <w:tcW w:w="741"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全长约2.77公里</w:t>
            </w:r>
          </w:p>
        </w:tc>
        <w:tc>
          <w:tcPr>
            <w:tcW w:w="38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p>
        </w:tc>
        <w:tc>
          <w:tcPr>
            <w:tcW w:w="34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2021</w:t>
            </w:r>
          </w:p>
        </w:tc>
        <w:tc>
          <w:tcPr>
            <w:tcW w:w="37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2021</w:t>
            </w:r>
          </w:p>
        </w:tc>
        <w:tc>
          <w:tcPr>
            <w:tcW w:w="440" w:type="pct"/>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sz w:val="18"/>
                <w:szCs w:val="18"/>
              </w:rPr>
              <w:t>397</w:t>
            </w:r>
          </w:p>
        </w:tc>
        <w:tc>
          <w:tcPr>
            <w:tcW w:w="50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397</w:t>
            </w:r>
          </w:p>
        </w:tc>
        <w:tc>
          <w:tcPr>
            <w:tcW w:w="52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海城镇人民政府</w:t>
            </w:r>
          </w:p>
        </w:tc>
        <w:tc>
          <w:tcPr>
            <w:tcW w:w="488"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sz w:val="18"/>
                <w:szCs w:val="18"/>
              </w:rPr>
              <w:t>38</w:t>
            </w:r>
          </w:p>
        </w:tc>
        <w:tc>
          <w:tcPr>
            <w:tcW w:w="191"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w:t>
            </w:r>
          </w:p>
        </w:tc>
        <w:tc>
          <w:tcPr>
            <w:tcW w:w="81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优冲村至梅陇农场沿海路</w:t>
            </w:r>
          </w:p>
        </w:tc>
        <w:tc>
          <w:tcPr>
            <w:tcW w:w="741"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全长约9.5公里</w:t>
            </w:r>
          </w:p>
        </w:tc>
        <w:tc>
          <w:tcPr>
            <w:tcW w:w="38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p>
        </w:tc>
        <w:tc>
          <w:tcPr>
            <w:tcW w:w="34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2023</w:t>
            </w:r>
          </w:p>
        </w:tc>
        <w:tc>
          <w:tcPr>
            <w:tcW w:w="37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2025</w:t>
            </w:r>
          </w:p>
        </w:tc>
        <w:tc>
          <w:tcPr>
            <w:tcW w:w="440" w:type="pct"/>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sz w:val="18"/>
                <w:szCs w:val="18"/>
              </w:rPr>
              <w:t>20000</w:t>
            </w:r>
          </w:p>
        </w:tc>
        <w:tc>
          <w:tcPr>
            <w:tcW w:w="50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20000</w:t>
            </w:r>
          </w:p>
        </w:tc>
        <w:tc>
          <w:tcPr>
            <w:tcW w:w="52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联安镇人民政府</w:t>
            </w:r>
          </w:p>
        </w:tc>
        <w:tc>
          <w:tcPr>
            <w:tcW w:w="488"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sz w:val="18"/>
                <w:szCs w:val="18"/>
              </w:rPr>
              <w:t>39</w:t>
            </w:r>
          </w:p>
        </w:tc>
        <w:tc>
          <w:tcPr>
            <w:tcW w:w="191"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21</w:t>
            </w:r>
          </w:p>
        </w:tc>
        <w:tc>
          <w:tcPr>
            <w:tcW w:w="81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海丰县陶河至可塘公路建设工程</w:t>
            </w:r>
          </w:p>
        </w:tc>
        <w:tc>
          <w:tcPr>
            <w:tcW w:w="741"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全长约0.27公里</w:t>
            </w:r>
          </w:p>
        </w:tc>
        <w:tc>
          <w:tcPr>
            <w:tcW w:w="38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p>
        </w:tc>
        <w:tc>
          <w:tcPr>
            <w:tcW w:w="34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2023</w:t>
            </w:r>
          </w:p>
        </w:tc>
        <w:tc>
          <w:tcPr>
            <w:tcW w:w="37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2025</w:t>
            </w:r>
          </w:p>
        </w:tc>
        <w:tc>
          <w:tcPr>
            <w:tcW w:w="440" w:type="pct"/>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sz w:val="18"/>
                <w:szCs w:val="18"/>
              </w:rPr>
              <w:t>8800</w:t>
            </w:r>
          </w:p>
        </w:tc>
        <w:tc>
          <w:tcPr>
            <w:tcW w:w="50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8800</w:t>
            </w:r>
          </w:p>
        </w:tc>
        <w:tc>
          <w:tcPr>
            <w:tcW w:w="52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陶河镇人民政府</w:t>
            </w:r>
          </w:p>
        </w:tc>
        <w:tc>
          <w:tcPr>
            <w:tcW w:w="488"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085" w:hRule="atLeast"/>
          <w:jc w:val="center"/>
        </w:trPr>
        <w:tc>
          <w:tcPr>
            <w:tcW w:w="18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sz w:val="18"/>
                <w:szCs w:val="18"/>
              </w:rPr>
              <w:t>40</w:t>
            </w:r>
          </w:p>
        </w:tc>
        <w:tc>
          <w:tcPr>
            <w:tcW w:w="191"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22</w:t>
            </w:r>
          </w:p>
        </w:tc>
        <w:tc>
          <w:tcPr>
            <w:tcW w:w="81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黄羌林场49团团部旧址连接公路升级改造工程</w:t>
            </w:r>
          </w:p>
        </w:tc>
        <w:tc>
          <w:tcPr>
            <w:tcW w:w="741"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全长约2.2公里</w:t>
            </w:r>
          </w:p>
        </w:tc>
        <w:tc>
          <w:tcPr>
            <w:tcW w:w="38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p>
        </w:tc>
        <w:tc>
          <w:tcPr>
            <w:tcW w:w="34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2021</w:t>
            </w:r>
          </w:p>
        </w:tc>
        <w:tc>
          <w:tcPr>
            <w:tcW w:w="37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2021</w:t>
            </w:r>
          </w:p>
        </w:tc>
        <w:tc>
          <w:tcPr>
            <w:tcW w:w="440" w:type="pct"/>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sz w:val="18"/>
                <w:szCs w:val="18"/>
              </w:rPr>
              <w:t>116</w:t>
            </w:r>
          </w:p>
        </w:tc>
        <w:tc>
          <w:tcPr>
            <w:tcW w:w="50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116</w:t>
            </w:r>
          </w:p>
        </w:tc>
        <w:tc>
          <w:tcPr>
            <w:tcW w:w="52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黄羌林场</w:t>
            </w:r>
          </w:p>
        </w:tc>
        <w:tc>
          <w:tcPr>
            <w:tcW w:w="488"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41</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23</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黄羌林场富足园坑尾公路建设工程</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全长约2.4公里</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2022</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2023</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306</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306</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黄羌林场</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42</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24</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黄羌林场环场公路</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全长约21公里</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2018</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2021</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3371</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3371</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黄羌林场</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43</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25</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山脚村、石牌社区通海路</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全长约7.5公里</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2021</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2023</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300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大湖镇人民政府</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44</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26</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省道S242线（双新）经黄羌至陆河新田海丰段工程（二期）综合改造</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全长约21.38公里</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2022</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2024</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1100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1100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黄羌镇人民政府</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45</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27</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可塘镇竹头桥改扩建暨全镇农村路桥治理工作</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2023</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2025</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8000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8000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可塘镇</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46</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28</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国道G236线平新村委至富城酒店路面升级改造工程</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全长约1.4公里</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2023</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2025</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4000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4000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公平镇人民政府</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47</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29</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省道S335线公平英豪桥至跃进桥升级改造工程</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全长约1公里</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2022</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2025</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3000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3000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公平镇人民政府</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48</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30</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海丰县附城镇笏口村笏口一路路面扩宽工程及笏口三路建设工程</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全长约1.2公里</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2021</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2021</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369</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369</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附城镇人民政府</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49</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31</w:t>
            </w:r>
          </w:p>
        </w:tc>
        <w:tc>
          <w:tcPr>
            <w:tcW w:w="810"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海丰县城北四环黄江北桥建设工程</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全长约2.2公里</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2023</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2025</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48970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48970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海丰县交通运输局</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50</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32</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海丰县城东圆墩村至陶河金锡村公路建设工程</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全长约19.5公里，双向四车道，设计速度80公里/小时</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开展规划研究工作</w:t>
            </w: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2025</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2030</w:t>
            </w:r>
          </w:p>
        </w:tc>
        <w:tc>
          <w:tcPr>
            <w:tcW w:w="440" w:type="pct"/>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165000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500</w:t>
            </w:r>
          </w:p>
        </w:tc>
        <w:tc>
          <w:tcPr>
            <w:tcW w:w="529"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海丰县交通运输局</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189" w:type="pct"/>
            <w:gridSpan w:val="3"/>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（四）公路安全提升及危旧桥改造项目</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440" w:type="pct"/>
            <w:vAlign w:val="center"/>
          </w:tcPr>
          <w:p>
            <w:pPr>
              <w:widowControl/>
              <w:jc w:val="center"/>
              <w:rPr>
                <w:rFonts w:hint="eastAsia" w:ascii="宋体" w:hAnsi="宋体" w:eastAsia="宋体" w:cs="宋体"/>
                <w:b/>
                <w:sz w:val="18"/>
                <w:szCs w:val="18"/>
              </w:rPr>
            </w:pPr>
            <w:r>
              <w:rPr>
                <w:rFonts w:hint="eastAsia" w:ascii="宋体" w:hAnsi="宋体" w:eastAsia="宋体" w:cs="宋体"/>
                <w:b/>
                <w:sz w:val="18"/>
                <w:szCs w:val="18"/>
              </w:rPr>
              <w:t>12328</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7455</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488" w:type="pct"/>
            <w:shd w:val="clear" w:color="auto" w:fill="auto"/>
            <w:vAlign w:val="center"/>
          </w:tcPr>
          <w:p>
            <w:pPr>
              <w:widowControl/>
              <w:jc w:val="center"/>
              <w:rPr>
                <w:rFonts w:hint="eastAsia" w:ascii="宋体" w:hAnsi="宋体" w:eastAsia="宋体" w:cs="宋体"/>
                <w:b/>
                <w:bCs/>
                <w:kern w:val="0"/>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388"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51</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国道G228线雷公田路段边坡整治、G236线灾毁重建工程</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2021</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2022</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1758</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1758</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海丰县交通运输局</w:t>
            </w:r>
          </w:p>
        </w:tc>
        <w:tc>
          <w:tcPr>
            <w:tcW w:w="488" w:type="pct"/>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106"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52</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海丰县危桥改造、整治修复工程</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66座</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2022</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2025</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10475</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5602</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海丰县公路事务中心</w:t>
            </w:r>
          </w:p>
        </w:tc>
        <w:tc>
          <w:tcPr>
            <w:tcW w:w="488" w:type="pct"/>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418"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53</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海丰县联安镇乡道Y302线圆优段公路损坏抢修复工程</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全长约1.3公里</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2021</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2021</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95</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95</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联安镇人民政府</w:t>
            </w:r>
          </w:p>
        </w:tc>
        <w:tc>
          <w:tcPr>
            <w:tcW w:w="488" w:type="pct"/>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189" w:type="pct"/>
            <w:gridSpan w:val="3"/>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二、客货运枢纽及物流建设项目</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440" w:type="pct"/>
            <w:vAlign w:val="center"/>
          </w:tcPr>
          <w:p>
            <w:pPr>
              <w:widowControl/>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109000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32000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488" w:type="pct"/>
            <w:shd w:val="clear" w:color="auto" w:fill="auto"/>
            <w:vAlign w:val="center"/>
          </w:tcPr>
          <w:p>
            <w:pPr>
              <w:widowControl/>
              <w:jc w:val="center"/>
              <w:rPr>
                <w:rFonts w:hint="eastAsia" w:ascii="宋体" w:hAnsi="宋体" w:eastAsia="宋体" w:cs="宋体"/>
                <w:b/>
                <w:bCs/>
                <w:kern w:val="0"/>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715"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54</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1</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海丰县高速口物流综合服务站场</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在三个高速互通出口处建设三个物流综合服务站场，占地约2300亩</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2023</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2026</w:t>
            </w:r>
          </w:p>
        </w:tc>
        <w:tc>
          <w:tcPr>
            <w:tcW w:w="440" w:type="pct"/>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69000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30000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海丰县交通运输局</w:t>
            </w:r>
          </w:p>
        </w:tc>
        <w:tc>
          <w:tcPr>
            <w:tcW w:w="488" w:type="pct"/>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418"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55</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2</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海丰县过境综合服务区（东片）</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占地300亩，建设加油站，旅店、停车场、休息区等。</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2025</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2030</w:t>
            </w:r>
          </w:p>
        </w:tc>
        <w:tc>
          <w:tcPr>
            <w:tcW w:w="440" w:type="pct"/>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20000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1000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海丰县交通运输局</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373"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56</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3</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海丰县过境综合服务区（西片）</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占地300亩，建设加油站，旅店、停车场、休息区等。</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2025</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2030</w:t>
            </w:r>
          </w:p>
        </w:tc>
        <w:tc>
          <w:tcPr>
            <w:tcW w:w="440" w:type="pct"/>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20000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1000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海丰县交通运输局</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县级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189" w:type="pct"/>
            <w:gridSpan w:val="3"/>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三、公共交通建设项目</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440" w:type="pct"/>
            <w:vAlign w:val="center"/>
          </w:tcPr>
          <w:p>
            <w:pPr>
              <w:widowControl/>
              <w:jc w:val="center"/>
              <w:rPr>
                <w:rFonts w:hint="eastAsia" w:ascii="宋体" w:hAnsi="宋体" w:eastAsia="宋体" w:cs="宋体"/>
                <w:b/>
                <w:bCs/>
                <w:color w:val="000000"/>
                <w:kern w:val="0"/>
                <w:sz w:val="18"/>
                <w:szCs w:val="18"/>
              </w:rPr>
            </w:pPr>
            <w:r>
              <w:rPr>
                <w:rFonts w:hint="eastAsia" w:ascii="宋体" w:hAnsi="宋体" w:eastAsia="宋体" w:cs="宋体"/>
                <w:b/>
                <w:sz w:val="18"/>
                <w:szCs w:val="18"/>
              </w:rPr>
              <w:t>50000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50000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b/>
                <w:color w:val="auto"/>
                <w:sz w:val="18"/>
                <w:szCs w:val="18"/>
              </w:rPr>
            </w:pPr>
          </w:p>
        </w:tc>
        <w:tc>
          <w:tcPr>
            <w:tcW w:w="488" w:type="pct"/>
            <w:shd w:val="clear" w:color="auto" w:fill="auto"/>
            <w:vAlign w:val="center"/>
          </w:tcPr>
          <w:p>
            <w:pPr>
              <w:widowControl/>
              <w:jc w:val="center"/>
              <w:rPr>
                <w:rFonts w:hint="eastAsia" w:ascii="宋体" w:hAnsi="宋体" w:eastAsia="宋体" w:cs="宋体"/>
                <w:b/>
                <w:bCs/>
                <w:kern w:val="0"/>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011" w:hRule="atLeast"/>
          <w:jc w:val="center"/>
        </w:trPr>
        <w:tc>
          <w:tcPr>
            <w:tcW w:w="187"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57</w:t>
            </w:r>
          </w:p>
        </w:tc>
        <w:tc>
          <w:tcPr>
            <w:tcW w:w="19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81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海丰县一镇一站综合客运车场建设项目</w:t>
            </w:r>
          </w:p>
        </w:tc>
        <w:tc>
          <w:tcPr>
            <w:tcW w:w="74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建设16个公交综合车场</w:t>
            </w:r>
          </w:p>
        </w:tc>
        <w:tc>
          <w:tcPr>
            <w:tcW w:w="383"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p>
        </w:tc>
        <w:tc>
          <w:tcPr>
            <w:tcW w:w="34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2023</w:t>
            </w:r>
          </w:p>
        </w:tc>
        <w:tc>
          <w:tcPr>
            <w:tcW w:w="370"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2025</w:t>
            </w:r>
          </w:p>
        </w:tc>
        <w:tc>
          <w:tcPr>
            <w:tcW w:w="440"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sz w:val="18"/>
                <w:szCs w:val="18"/>
              </w:rPr>
              <w:t>50000</w:t>
            </w:r>
          </w:p>
        </w:tc>
        <w:tc>
          <w:tcPr>
            <w:tcW w:w="508"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50000</w:t>
            </w:r>
          </w:p>
        </w:tc>
        <w:tc>
          <w:tcPr>
            <w:tcW w:w="52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海丰县交通运输局</w:t>
            </w:r>
          </w:p>
        </w:tc>
        <w:tc>
          <w:tcPr>
            <w:tcW w:w="488"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县级</w:t>
            </w:r>
          </w:p>
        </w:tc>
      </w:tr>
    </w:tbl>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jc w:val="left"/>
        <w:textAlignment w:val="auto"/>
        <w:rPr>
          <w:rFonts w:hint="eastAsia" w:ascii="宋体" w:hAnsi="宋体" w:eastAsia="宋体" w:cs="宋体"/>
          <w:color w:val="000000"/>
          <w:sz w:val="24"/>
          <w:szCs w:val="24"/>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附表2</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海丰县“十四五”县道网提档升级项目建设任务表</w:t>
      </w:r>
    </w:p>
    <w:tbl>
      <w:tblPr>
        <w:tblStyle w:val="5"/>
        <w:tblW w:w="4941"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29"/>
        <w:gridCol w:w="1029"/>
        <w:gridCol w:w="868"/>
        <w:gridCol w:w="840"/>
        <w:gridCol w:w="644"/>
        <w:gridCol w:w="599"/>
        <w:gridCol w:w="739"/>
        <w:gridCol w:w="739"/>
        <w:gridCol w:w="739"/>
        <w:gridCol w:w="814"/>
        <w:gridCol w:w="736"/>
        <w:gridCol w:w="66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611" w:hRule="atLeast"/>
          <w:tblHeader/>
          <w:jc w:val="center"/>
        </w:trPr>
        <w:tc>
          <w:tcPr>
            <w:tcW w:w="188"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序号</w:t>
            </w:r>
          </w:p>
        </w:tc>
        <w:tc>
          <w:tcPr>
            <w:tcW w:w="588"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路线编码</w:t>
            </w:r>
          </w:p>
        </w:tc>
        <w:tc>
          <w:tcPr>
            <w:tcW w:w="496"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路线名称</w:t>
            </w:r>
          </w:p>
        </w:tc>
        <w:tc>
          <w:tcPr>
            <w:tcW w:w="480"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路段里程</w:t>
            </w:r>
          </w:p>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（公里）</w:t>
            </w:r>
          </w:p>
        </w:tc>
        <w:tc>
          <w:tcPr>
            <w:tcW w:w="368"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技术等级</w:t>
            </w:r>
          </w:p>
        </w:tc>
        <w:tc>
          <w:tcPr>
            <w:tcW w:w="342"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路面宽度</w:t>
            </w:r>
          </w:p>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（米）</w:t>
            </w:r>
          </w:p>
        </w:tc>
        <w:tc>
          <w:tcPr>
            <w:tcW w:w="422"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路基宽度</w:t>
            </w:r>
          </w:p>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（米）</w:t>
            </w:r>
          </w:p>
        </w:tc>
        <w:tc>
          <w:tcPr>
            <w:tcW w:w="422"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改建后</w:t>
            </w:r>
          </w:p>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技术等级</w:t>
            </w:r>
          </w:p>
        </w:tc>
        <w:tc>
          <w:tcPr>
            <w:tcW w:w="422" w:type="pct"/>
            <w:shd w:val="clear" w:color="auto" w:fill="D8D8D8" w:themeFill="background1" w:themeFillShade="D9"/>
            <w:vAlign w:val="center"/>
          </w:tcPr>
          <w:p>
            <w:pPr>
              <w:widowControl/>
              <w:jc w:val="center"/>
              <w:rPr>
                <w:rFonts w:hint="eastAsia" w:ascii="宋体" w:hAnsi="宋体" w:eastAsia="宋体" w:cs="宋体"/>
                <w:b/>
                <w:bCs/>
                <w:kern w:val="0"/>
                <w:sz w:val="18"/>
                <w:szCs w:val="18"/>
              </w:rPr>
            </w:pPr>
            <w:r>
              <w:rPr>
                <w:rFonts w:hint="eastAsia" w:ascii="宋体" w:hAnsi="宋体" w:eastAsia="宋体" w:cs="宋体"/>
                <w:b/>
                <w:bCs/>
                <w:kern w:val="0"/>
                <w:sz w:val="18"/>
                <w:szCs w:val="18"/>
              </w:rPr>
              <w:t>改建后</w:t>
            </w:r>
          </w:p>
          <w:p>
            <w:pPr>
              <w:widowControl/>
              <w:jc w:val="center"/>
              <w:rPr>
                <w:rFonts w:hint="eastAsia" w:ascii="宋体" w:hAnsi="宋体" w:eastAsia="宋体" w:cs="宋体"/>
                <w:b/>
                <w:bCs/>
                <w:kern w:val="0"/>
                <w:sz w:val="18"/>
                <w:szCs w:val="18"/>
              </w:rPr>
            </w:pPr>
            <w:r>
              <w:rPr>
                <w:rFonts w:hint="eastAsia" w:ascii="宋体" w:hAnsi="宋体" w:eastAsia="宋体" w:cs="宋体"/>
                <w:b/>
                <w:bCs/>
                <w:kern w:val="0"/>
                <w:sz w:val="18"/>
                <w:szCs w:val="18"/>
              </w:rPr>
              <w:t>路面宽度</w:t>
            </w:r>
          </w:p>
        </w:tc>
        <w:tc>
          <w:tcPr>
            <w:tcW w:w="465" w:type="pct"/>
            <w:shd w:val="clear" w:color="auto" w:fill="D8D8D8" w:themeFill="background1" w:themeFillShade="D9"/>
            <w:vAlign w:val="center"/>
          </w:tcPr>
          <w:p>
            <w:pPr>
              <w:widowControl/>
              <w:jc w:val="center"/>
              <w:rPr>
                <w:rFonts w:hint="eastAsia" w:ascii="宋体" w:hAnsi="宋体" w:eastAsia="宋体" w:cs="宋体"/>
                <w:b/>
                <w:bCs/>
                <w:kern w:val="0"/>
                <w:sz w:val="18"/>
                <w:szCs w:val="18"/>
              </w:rPr>
            </w:pPr>
            <w:r>
              <w:rPr>
                <w:rFonts w:hint="eastAsia" w:ascii="宋体" w:hAnsi="宋体" w:eastAsia="宋体" w:cs="宋体"/>
                <w:b/>
                <w:bCs/>
                <w:kern w:val="0"/>
                <w:sz w:val="18"/>
                <w:szCs w:val="18"/>
              </w:rPr>
              <w:t>改建后</w:t>
            </w:r>
          </w:p>
          <w:p>
            <w:pPr>
              <w:widowControl/>
              <w:jc w:val="center"/>
              <w:rPr>
                <w:rFonts w:hint="eastAsia" w:ascii="宋体" w:hAnsi="宋体" w:eastAsia="宋体" w:cs="宋体"/>
                <w:b/>
                <w:bCs/>
                <w:kern w:val="0"/>
                <w:sz w:val="18"/>
                <w:szCs w:val="18"/>
              </w:rPr>
            </w:pPr>
            <w:r>
              <w:rPr>
                <w:rFonts w:hint="eastAsia" w:ascii="宋体" w:hAnsi="宋体" w:eastAsia="宋体" w:cs="宋体"/>
                <w:b/>
                <w:bCs/>
                <w:kern w:val="0"/>
                <w:sz w:val="18"/>
                <w:szCs w:val="18"/>
              </w:rPr>
              <w:t>路基宽度</w:t>
            </w:r>
          </w:p>
        </w:tc>
        <w:tc>
          <w:tcPr>
            <w:tcW w:w="420" w:type="pct"/>
            <w:shd w:val="clear" w:color="auto" w:fill="D8D8D8" w:themeFill="background1" w:themeFillShade="D9"/>
            <w:vAlign w:val="center"/>
          </w:tcPr>
          <w:p>
            <w:pPr>
              <w:widowControl/>
              <w:jc w:val="center"/>
              <w:rPr>
                <w:rFonts w:hint="eastAsia" w:ascii="宋体" w:hAnsi="宋体" w:eastAsia="宋体" w:cs="宋体"/>
                <w:b/>
                <w:bCs/>
                <w:kern w:val="0"/>
                <w:sz w:val="18"/>
                <w:szCs w:val="18"/>
              </w:rPr>
            </w:pPr>
            <w:r>
              <w:rPr>
                <w:rFonts w:hint="eastAsia" w:ascii="宋体" w:hAnsi="宋体" w:eastAsia="宋体" w:cs="宋体"/>
                <w:b/>
                <w:sz w:val="18"/>
                <w:szCs w:val="18"/>
              </w:rPr>
              <w:t>路面类型</w:t>
            </w:r>
          </w:p>
        </w:tc>
        <w:tc>
          <w:tcPr>
            <w:tcW w:w="380" w:type="pct"/>
            <w:shd w:val="clear" w:color="auto" w:fill="D8D8D8" w:themeFill="background1" w:themeFillShade="D9"/>
            <w:vAlign w:val="center"/>
          </w:tcPr>
          <w:p>
            <w:pPr>
              <w:widowControl/>
              <w:jc w:val="center"/>
              <w:rPr>
                <w:rFonts w:hint="eastAsia" w:ascii="宋体" w:hAnsi="宋体" w:eastAsia="宋体" w:cs="宋体"/>
                <w:b/>
                <w:bCs/>
                <w:kern w:val="0"/>
                <w:sz w:val="18"/>
                <w:szCs w:val="18"/>
              </w:rPr>
            </w:pPr>
            <w:r>
              <w:rPr>
                <w:rFonts w:hint="eastAsia" w:ascii="宋体" w:hAnsi="宋体" w:eastAsia="宋体" w:cs="宋体"/>
                <w:b/>
                <w:bCs/>
                <w:kern w:val="0"/>
                <w:sz w:val="18"/>
                <w:szCs w:val="18"/>
              </w:rPr>
              <w:t>拟实施年份</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X801441521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公平-西坑</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9.041</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X129441521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南大线</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2.983</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X129441521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南大线</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0.174</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X801441521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公平-西坑</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5.876</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X130441521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公品线</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0.798</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X130441521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公品线</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0.569</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X130441521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公品线</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5.382</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8</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X130441521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公品线</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0.547</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9</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X130441521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公品线</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2.055</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10</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X130441521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公品线</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3.275</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11</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X804441521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梅陇-联安</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0.53</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9</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12</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X126441521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海丰双新-陆丰大</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4.031</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633"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13</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X126441521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海丰双新-陆丰大</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0.235</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14</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X803441521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附城-联安大液</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2.212</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15</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X803441521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附城-联安大液</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1.017</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16</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X803441521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附城-联安大液</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2.141</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17</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X803441521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附城-联安大液</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0.274</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18</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X803441521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附城-联安大液</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1.9</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19</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X803441521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附城-联安大液</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0.523</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X803441521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附城-联安大液</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0.666</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21</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X803441521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附城-联安大液</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1.998</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22</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X803441521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附城-联安大液</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0.071</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23</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X803441521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附城-联安大液</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0.564</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24</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X129441521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南大线</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0.502</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25</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X129441521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南大线</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0.652</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26</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X129441521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南大线</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1.283</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27</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X123441521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黄告-黄羌林场</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0.42</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28</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X123441521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黄告-黄羌林场</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0.64</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29</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X123441521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黄告-黄羌林场</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0.3</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30</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X131441521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海丰大化-城区新港</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1.503</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31</w:t>
            </w:r>
          </w:p>
        </w:tc>
        <w:tc>
          <w:tcPr>
            <w:tcW w:w="58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X804441521</w:t>
            </w:r>
          </w:p>
        </w:tc>
        <w:tc>
          <w:tcPr>
            <w:tcW w:w="49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梅陇-联安</w:t>
            </w:r>
          </w:p>
        </w:tc>
        <w:tc>
          <w:tcPr>
            <w:tcW w:w="48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0.81</w:t>
            </w:r>
          </w:p>
        </w:tc>
        <w:tc>
          <w:tcPr>
            <w:tcW w:w="368"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42"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22"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2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2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0"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bl>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附表3 海丰县“十四五”通建制村双车道公路建设任务表</w:t>
      </w:r>
    </w:p>
    <w:tbl>
      <w:tblPr>
        <w:tblStyle w:val="5"/>
        <w:tblW w:w="850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99"/>
        <w:gridCol w:w="978"/>
        <w:gridCol w:w="657"/>
        <w:gridCol w:w="657"/>
        <w:gridCol w:w="761"/>
        <w:gridCol w:w="553"/>
        <w:gridCol w:w="657"/>
        <w:gridCol w:w="657"/>
        <w:gridCol w:w="657"/>
        <w:gridCol w:w="657"/>
        <w:gridCol w:w="657"/>
        <w:gridCol w:w="657"/>
        <w:gridCol w:w="65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611" w:hRule="atLeast"/>
          <w:tblHeader/>
          <w:jc w:val="center"/>
        </w:trPr>
        <w:tc>
          <w:tcPr>
            <w:tcW w:w="175"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序号</w:t>
            </w:r>
          </w:p>
        </w:tc>
        <w:tc>
          <w:tcPr>
            <w:tcW w:w="575"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建制村名称</w:t>
            </w:r>
          </w:p>
        </w:tc>
        <w:tc>
          <w:tcPr>
            <w:tcW w:w="386"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路线编码</w:t>
            </w:r>
          </w:p>
        </w:tc>
        <w:tc>
          <w:tcPr>
            <w:tcW w:w="386"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路线名称</w:t>
            </w:r>
          </w:p>
        </w:tc>
        <w:tc>
          <w:tcPr>
            <w:tcW w:w="447"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路段里程（公里）</w:t>
            </w:r>
          </w:p>
        </w:tc>
        <w:tc>
          <w:tcPr>
            <w:tcW w:w="325"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技术等级</w:t>
            </w:r>
          </w:p>
        </w:tc>
        <w:tc>
          <w:tcPr>
            <w:tcW w:w="386"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路面宽度</w:t>
            </w:r>
          </w:p>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（米）</w:t>
            </w:r>
          </w:p>
        </w:tc>
        <w:tc>
          <w:tcPr>
            <w:tcW w:w="386"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路基宽度</w:t>
            </w:r>
          </w:p>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（米）</w:t>
            </w:r>
          </w:p>
        </w:tc>
        <w:tc>
          <w:tcPr>
            <w:tcW w:w="386"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改建后</w:t>
            </w:r>
          </w:p>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技术等级</w:t>
            </w:r>
          </w:p>
        </w:tc>
        <w:tc>
          <w:tcPr>
            <w:tcW w:w="386" w:type="pct"/>
            <w:shd w:val="clear" w:color="auto" w:fill="D8D8D8" w:themeFill="background1" w:themeFillShade="D9"/>
            <w:vAlign w:val="center"/>
          </w:tcPr>
          <w:p>
            <w:pPr>
              <w:widowControl/>
              <w:jc w:val="center"/>
              <w:rPr>
                <w:rFonts w:hint="eastAsia" w:ascii="宋体" w:hAnsi="宋体" w:eastAsia="宋体" w:cs="宋体"/>
                <w:b/>
                <w:bCs/>
                <w:kern w:val="0"/>
                <w:sz w:val="18"/>
                <w:szCs w:val="18"/>
              </w:rPr>
            </w:pPr>
            <w:r>
              <w:rPr>
                <w:rFonts w:hint="eastAsia" w:ascii="宋体" w:hAnsi="宋体" w:eastAsia="宋体" w:cs="宋体"/>
                <w:b/>
                <w:bCs/>
                <w:kern w:val="0"/>
                <w:sz w:val="18"/>
                <w:szCs w:val="18"/>
              </w:rPr>
              <w:t>改建后</w:t>
            </w:r>
          </w:p>
          <w:p>
            <w:pPr>
              <w:widowControl/>
              <w:jc w:val="center"/>
              <w:rPr>
                <w:rFonts w:hint="eastAsia" w:ascii="宋体" w:hAnsi="宋体" w:eastAsia="宋体" w:cs="宋体"/>
                <w:b/>
                <w:bCs/>
                <w:kern w:val="0"/>
                <w:sz w:val="18"/>
                <w:szCs w:val="18"/>
              </w:rPr>
            </w:pPr>
            <w:r>
              <w:rPr>
                <w:rFonts w:hint="eastAsia" w:ascii="宋体" w:hAnsi="宋体" w:eastAsia="宋体" w:cs="宋体"/>
                <w:b/>
                <w:bCs/>
                <w:kern w:val="0"/>
                <w:sz w:val="18"/>
                <w:szCs w:val="18"/>
              </w:rPr>
              <w:t>路面宽度</w:t>
            </w:r>
          </w:p>
        </w:tc>
        <w:tc>
          <w:tcPr>
            <w:tcW w:w="386" w:type="pct"/>
            <w:shd w:val="clear" w:color="auto" w:fill="D8D8D8" w:themeFill="background1" w:themeFillShade="D9"/>
            <w:vAlign w:val="center"/>
          </w:tcPr>
          <w:p>
            <w:pPr>
              <w:widowControl/>
              <w:jc w:val="center"/>
              <w:rPr>
                <w:rFonts w:hint="eastAsia" w:ascii="宋体" w:hAnsi="宋体" w:eastAsia="宋体" w:cs="宋体"/>
                <w:b/>
                <w:bCs/>
                <w:kern w:val="0"/>
                <w:sz w:val="18"/>
                <w:szCs w:val="18"/>
              </w:rPr>
            </w:pPr>
            <w:r>
              <w:rPr>
                <w:rFonts w:hint="eastAsia" w:ascii="宋体" w:hAnsi="宋体" w:eastAsia="宋体" w:cs="宋体"/>
                <w:b/>
                <w:bCs/>
                <w:kern w:val="0"/>
                <w:sz w:val="18"/>
                <w:szCs w:val="18"/>
              </w:rPr>
              <w:t>改建后</w:t>
            </w:r>
          </w:p>
          <w:p>
            <w:pPr>
              <w:widowControl/>
              <w:jc w:val="center"/>
              <w:rPr>
                <w:rFonts w:hint="eastAsia" w:ascii="宋体" w:hAnsi="宋体" w:eastAsia="宋体" w:cs="宋体"/>
                <w:b/>
                <w:bCs/>
                <w:kern w:val="0"/>
                <w:sz w:val="18"/>
                <w:szCs w:val="18"/>
              </w:rPr>
            </w:pPr>
            <w:r>
              <w:rPr>
                <w:rFonts w:hint="eastAsia" w:ascii="宋体" w:hAnsi="宋体" w:eastAsia="宋体" w:cs="宋体"/>
                <w:b/>
                <w:bCs/>
                <w:kern w:val="0"/>
                <w:sz w:val="18"/>
                <w:szCs w:val="18"/>
              </w:rPr>
              <w:t>路基宽度</w:t>
            </w:r>
          </w:p>
        </w:tc>
        <w:tc>
          <w:tcPr>
            <w:tcW w:w="386" w:type="pct"/>
            <w:shd w:val="clear" w:color="auto" w:fill="D8D8D8" w:themeFill="background1" w:themeFillShade="D9"/>
            <w:vAlign w:val="center"/>
          </w:tcPr>
          <w:p>
            <w:pPr>
              <w:widowControl/>
              <w:jc w:val="center"/>
              <w:rPr>
                <w:rFonts w:hint="eastAsia" w:ascii="宋体" w:hAnsi="宋体" w:eastAsia="宋体" w:cs="宋体"/>
                <w:b/>
                <w:bCs/>
                <w:kern w:val="0"/>
                <w:sz w:val="18"/>
                <w:szCs w:val="18"/>
              </w:rPr>
            </w:pPr>
            <w:r>
              <w:rPr>
                <w:rFonts w:hint="eastAsia" w:ascii="宋体" w:hAnsi="宋体" w:eastAsia="宋体" w:cs="宋体"/>
                <w:b/>
                <w:sz w:val="18"/>
                <w:szCs w:val="18"/>
              </w:rPr>
              <w:t>路面类型</w:t>
            </w:r>
          </w:p>
        </w:tc>
        <w:tc>
          <w:tcPr>
            <w:tcW w:w="386" w:type="pct"/>
            <w:shd w:val="clear" w:color="auto" w:fill="D8D8D8" w:themeFill="background1" w:themeFillShade="D9"/>
            <w:vAlign w:val="center"/>
          </w:tcPr>
          <w:p>
            <w:pPr>
              <w:widowControl/>
              <w:jc w:val="center"/>
              <w:rPr>
                <w:rFonts w:hint="eastAsia" w:ascii="宋体" w:hAnsi="宋体" w:eastAsia="宋体" w:cs="宋体"/>
                <w:b/>
                <w:bCs/>
                <w:kern w:val="0"/>
                <w:sz w:val="18"/>
                <w:szCs w:val="18"/>
              </w:rPr>
            </w:pPr>
            <w:r>
              <w:rPr>
                <w:rFonts w:hint="eastAsia" w:ascii="宋体" w:hAnsi="宋体" w:eastAsia="宋体" w:cs="宋体"/>
                <w:b/>
                <w:bCs/>
                <w:kern w:val="0"/>
                <w:sz w:val="18"/>
                <w:szCs w:val="18"/>
              </w:rPr>
              <w:t>拟实施年份</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东升村委会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Y389441521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田东段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2.707</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梓里村委会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Y365441521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广梓段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1.496</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长围村委会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Y227441521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赤长段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2.953</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莲光村民委员会，海丰埔仔村民委员会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Y309441521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总莲段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2.888</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新置村委会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Y221441521001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渡角段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2.978</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9.0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7.0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湖仔村委会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Y221441521002</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渡角段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0.173</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9.0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7.0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白山村委会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Y321441521001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公高段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4.9415</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9.0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7.0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8</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高北村委会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Y321441521001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公高段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4.9415</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9.0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7.0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9</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双新村委会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Y393441521002</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建长段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1.384</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9.0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7.0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10</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罗山村委会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Y246441521001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后可段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1.206</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9.0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7.0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11</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罗北村委会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Y246441521002</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后可段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0.738</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36"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9.0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7.0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36"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12</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罗北村委会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Y246441521003</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后可段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1.727</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9.0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7.0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866"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13</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和平村委会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Y205441521003</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后石段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6.12</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9.0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7.0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14</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海丰九龙村民委员会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Y276441521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平九段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3.537</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15</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陶北村民委员会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Y078441521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小港段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1.135</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16</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双新村民委员会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Y393441521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建长段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0.406</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860"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17</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陶北村民委员会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Y078441521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小港段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0.898</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18</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松林村民委员会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C309441521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S510线至汉塘仔村</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1.184</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905"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19</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高中村民委员会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C372441521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黄高线</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0.825</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兴洲村民委员会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CC05441521001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海兴段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0.404</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21</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兴洲村民委员会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CC05441521002</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海兴段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0.522</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295"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22</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新望村民委员会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CC15441521001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总莲段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0.585</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160"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23</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可新村民委员会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CC40441521001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远龙段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0.325</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190"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24</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东风村民委员会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CC82441521001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柴新段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1.325</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3.6</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235"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25</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平三村民委员会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CC85441521001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下新段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1.044</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190"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26</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新塘村民委员会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CD52441521001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将新段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1.794</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27</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荣港村民委员会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CD92441521001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笏宫段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0.365</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175"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28</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荣港村民委员会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CD92441521002</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笏宫段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0.552</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3.8</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885"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29</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圆山村委会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CD93441521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海圆段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1.169</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870"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30</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陶新村民委员会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Y234441521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严大段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1.621</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130"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31</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十字岗村民委员会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Y270441521001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林上段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1.994</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4.8</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190"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32</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十字岗村民委员会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Y270441521002</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林上段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0.358</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33</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南土村民委员会，下兰村民委员会，古流村民委员会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Y273441521003</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古南段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1.99</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34</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南土村民委员会，下兰村民委员会，古流村民委员会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Y273441521004</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古南段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0.567</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莲光村民委员会，海丰埔仔村民委员会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Y309441521007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总莲段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1.48</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36</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南垭村民委员会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Y331441521001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南蔡段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2.957</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3.8</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37</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里坑村民委员会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Y391441521001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松官段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3.9</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38</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圆山村民委员会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Y421441521002</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夏笏段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0.646</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39</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海丰新江村民委员会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Y481441521001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丽柑段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1.886</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40</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新江村民委员会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Y481441521002</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丽柑段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0.177</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190"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41</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南门村民委员会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YA31441521001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平南线</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2.945</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3.6</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090"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42</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黄厝港村民委员会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YA32441521001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后黄线</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2.932</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5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5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130"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43</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黄厝港村民委员会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YA32441521002</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后黄线</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0.345</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130"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44</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联英村民委员会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YA35441521001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英矿线</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0.708</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190"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45</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联英村民委员会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YA35441521002</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英矿线</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0.26</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145"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46</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联英村民委员会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YA35441521003</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英矿线</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1.31</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160"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47</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联英村民委员会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YA35441521004</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英矿线</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0.187</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190"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48</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东园村民委员会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Y405441521001</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屯红段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1.04</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245" w:hRule="atLeast"/>
          <w:jc w:val="center"/>
        </w:trPr>
        <w:tc>
          <w:tcPr>
            <w:tcW w:w="17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49</w:t>
            </w:r>
          </w:p>
        </w:tc>
        <w:tc>
          <w:tcPr>
            <w:tcW w:w="575"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东园村民委员会</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Y405441521002</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屯红段</w:t>
            </w:r>
          </w:p>
        </w:tc>
        <w:tc>
          <w:tcPr>
            <w:tcW w:w="447"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5.982</w:t>
            </w:r>
          </w:p>
        </w:tc>
        <w:tc>
          <w:tcPr>
            <w:tcW w:w="32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386"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3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6.5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7.5 </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386" w:type="pct"/>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2024</w:t>
            </w:r>
          </w:p>
        </w:tc>
      </w:tr>
    </w:tbl>
    <w:p>
      <w:pPr>
        <w:keepNext w:val="0"/>
        <w:keepLines w:val="0"/>
        <w:pageBreakBefore w:val="0"/>
        <w:widowControl w:val="0"/>
        <w:kinsoku/>
        <w:wordWrap/>
        <w:overflowPunct/>
        <w:topLinePunct w:val="0"/>
        <w:autoSpaceDE/>
        <w:autoSpaceDN/>
        <w:bidi w:val="0"/>
        <w:adjustRightInd/>
        <w:snapToGrid/>
        <w:spacing w:before="157" w:beforeLines="50" w:line="560" w:lineRule="exact"/>
        <w:ind w:left="0" w:leftChars="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附表4</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海丰县“十四五”衔接普通国省道的农村公路单改双项目表</w:t>
      </w:r>
    </w:p>
    <w:tbl>
      <w:tblPr>
        <w:tblStyle w:val="5"/>
        <w:tblW w:w="850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48"/>
        <w:gridCol w:w="874"/>
        <w:gridCol w:w="705"/>
        <w:gridCol w:w="840"/>
        <w:gridCol w:w="545"/>
        <w:gridCol w:w="685"/>
        <w:gridCol w:w="690"/>
        <w:gridCol w:w="765"/>
        <w:gridCol w:w="828"/>
        <w:gridCol w:w="762"/>
        <w:gridCol w:w="735"/>
        <w:gridCol w:w="72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611" w:hRule="atLeast"/>
          <w:tblHeader/>
          <w:jc w:val="center"/>
        </w:trPr>
        <w:tc>
          <w:tcPr>
            <w:tcW w:w="204"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序号</w:t>
            </w:r>
          </w:p>
        </w:tc>
        <w:tc>
          <w:tcPr>
            <w:tcW w:w="513"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路线编码</w:t>
            </w:r>
          </w:p>
        </w:tc>
        <w:tc>
          <w:tcPr>
            <w:tcW w:w="414"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路线名称</w:t>
            </w:r>
          </w:p>
        </w:tc>
        <w:tc>
          <w:tcPr>
            <w:tcW w:w="493"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路段里程</w:t>
            </w:r>
          </w:p>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（公里）</w:t>
            </w:r>
          </w:p>
        </w:tc>
        <w:tc>
          <w:tcPr>
            <w:tcW w:w="320"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技术等级</w:t>
            </w:r>
          </w:p>
        </w:tc>
        <w:tc>
          <w:tcPr>
            <w:tcW w:w="402"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路面宽度</w:t>
            </w:r>
          </w:p>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（米）</w:t>
            </w:r>
          </w:p>
        </w:tc>
        <w:tc>
          <w:tcPr>
            <w:tcW w:w="405"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路基宽度</w:t>
            </w:r>
          </w:p>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（米）</w:t>
            </w:r>
          </w:p>
        </w:tc>
        <w:tc>
          <w:tcPr>
            <w:tcW w:w="449"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改建后</w:t>
            </w:r>
          </w:p>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技术等级</w:t>
            </w:r>
          </w:p>
        </w:tc>
        <w:tc>
          <w:tcPr>
            <w:tcW w:w="486" w:type="pct"/>
            <w:shd w:val="clear" w:color="auto" w:fill="D8D8D8" w:themeFill="background1" w:themeFillShade="D9"/>
            <w:vAlign w:val="center"/>
          </w:tcPr>
          <w:p>
            <w:pPr>
              <w:widowControl/>
              <w:jc w:val="center"/>
              <w:rPr>
                <w:rFonts w:hint="eastAsia" w:ascii="宋体" w:hAnsi="宋体" w:eastAsia="宋体" w:cs="宋体"/>
                <w:b/>
                <w:bCs/>
                <w:kern w:val="0"/>
                <w:sz w:val="18"/>
                <w:szCs w:val="18"/>
              </w:rPr>
            </w:pPr>
            <w:r>
              <w:rPr>
                <w:rFonts w:hint="eastAsia" w:ascii="宋体" w:hAnsi="宋体" w:eastAsia="宋体" w:cs="宋体"/>
                <w:b/>
                <w:bCs/>
                <w:kern w:val="0"/>
                <w:sz w:val="18"/>
                <w:szCs w:val="18"/>
              </w:rPr>
              <w:t>改建后</w:t>
            </w:r>
          </w:p>
          <w:p>
            <w:pPr>
              <w:widowControl/>
              <w:jc w:val="center"/>
              <w:rPr>
                <w:rFonts w:hint="eastAsia" w:ascii="宋体" w:hAnsi="宋体" w:eastAsia="宋体" w:cs="宋体"/>
                <w:b/>
                <w:bCs/>
                <w:kern w:val="0"/>
                <w:sz w:val="18"/>
                <w:szCs w:val="18"/>
              </w:rPr>
            </w:pPr>
            <w:r>
              <w:rPr>
                <w:rFonts w:hint="eastAsia" w:ascii="宋体" w:hAnsi="宋体" w:eastAsia="宋体" w:cs="宋体"/>
                <w:b/>
                <w:bCs/>
                <w:kern w:val="0"/>
                <w:sz w:val="18"/>
                <w:szCs w:val="18"/>
              </w:rPr>
              <w:t>路面宽度</w:t>
            </w:r>
          </w:p>
        </w:tc>
        <w:tc>
          <w:tcPr>
            <w:tcW w:w="448" w:type="pct"/>
            <w:shd w:val="clear" w:color="auto" w:fill="D8D8D8" w:themeFill="background1" w:themeFillShade="D9"/>
            <w:vAlign w:val="center"/>
          </w:tcPr>
          <w:p>
            <w:pPr>
              <w:widowControl/>
              <w:jc w:val="center"/>
              <w:rPr>
                <w:rFonts w:hint="eastAsia" w:ascii="宋体" w:hAnsi="宋体" w:eastAsia="宋体" w:cs="宋体"/>
                <w:b/>
                <w:bCs/>
                <w:kern w:val="0"/>
                <w:sz w:val="18"/>
                <w:szCs w:val="18"/>
              </w:rPr>
            </w:pPr>
            <w:r>
              <w:rPr>
                <w:rFonts w:hint="eastAsia" w:ascii="宋体" w:hAnsi="宋体" w:eastAsia="宋体" w:cs="宋体"/>
                <w:b/>
                <w:bCs/>
                <w:kern w:val="0"/>
                <w:sz w:val="18"/>
                <w:szCs w:val="18"/>
              </w:rPr>
              <w:t>改建后</w:t>
            </w:r>
          </w:p>
          <w:p>
            <w:pPr>
              <w:widowControl/>
              <w:jc w:val="center"/>
              <w:rPr>
                <w:rFonts w:hint="eastAsia" w:ascii="宋体" w:hAnsi="宋体" w:eastAsia="宋体" w:cs="宋体"/>
                <w:b/>
                <w:bCs/>
                <w:kern w:val="0"/>
                <w:sz w:val="18"/>
                <w:szCs w:val="18"/>
              </w:rPr>
            </w:pPr>
            <w:r>
              <w:rPr>
                <w:rFonts w:hint="eastAsia" w:ascii="宋体" w:hAnsi="宋体" w:eastAsia="宋体" w:cs="宋体"/>
                <w:b/>
                <w:bCs/>
                <w:kern w:val="0"/>
                <w:sz w:val="18"/>
                <w:szCs w:val="18"/>
              </w:rPr>
              <w:t>路基宽度</w:t>
            </w:r>
          </w:p>
        </w:tc>
        <w:tc>
          <w:tcPr>
            <w:tcW w:w="432" w:type="pct"/>
            <w:shd w:val="clear" w:color="auto" w:fill="D8D8D8" w:themeFill="background1" w:themeFillShade="D9"/>
            <w:vAlign w:val="center"/>
          </w:tcPr>
          <w:p>
            <w:pPr>
              <w:widowControl/>
              <w:jc w:val="center"/>
              <w:rPr>
                <w:rFonts w:hint="eastAsia" w:ascii="宋体" w:hAnsi="宋体" w:eastAsia="宋体" w:cs="宋体"/>
                <w:b/>
                <w:bCs/>
                <w:kern w:val="0"/>
                <w:sz w:val="18"/>
                <w:szCs w:val="18"/>
              </w:rPr>
            </w:pPr>
            <w:r>
              <w:rPr>
                <w:rFonts w:hint="eastAsia" w:ascii="宋体" w:hAnsi="宋体" w:eastAsia="宋体" w:cs="宋体"/>
                <w:b/>
                <w:sz w:val="18"/>
                <w:szCs w:val="18"/>
              </w:rPr>
              <w:t>路面类型</w:t>
            </w:r>
          </w:p>
        </w:tc>
        <w:tc>
          <w:tcPr>
            <w:tcW w:w="427" w:type="pct"/>
            <w:shd w:val="clear" w:color="auto" w:fill="D8D8D8" w:themeFill="background1" w:themeFillShade="D9"/>
            <w:vAlign w:val="center"/>
          </w:tcPr>
          <w:p>
            <w:pPr>
              <w:widowControl/>
              <w:jc w:val="center"/>
              <w:rPr>
                <w:rFonts w:hint="eastAsia" w:ascii="宋体" w:hAnsi="宋体" w:eastAsia="宋体" w:cs="宋体"/>
                <w:b/>
                <w:bCs/>
                <w:kern w:val="0"/>
                <w:sz w:val="18"/>
                <w:szCs w:val="18"/>
              </w:rPr>
            </w:pPr>
            <w:r>
              <w:rPr>
                <w:rFonts w:hint="eastAsia" w:ascii="宋体" w:hAnsi="宋体" w:eastAsia="宋体" w:cs="宋体"/>
                <w:b/>
                <w:bCs/>
                <w:kern w:val="0"/>
                <w:sz w:val="18"/>
                <w:szCs w:val="18"/>
              </w:rPr>
              <w:t>拟实施年份</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704"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CC97441521001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广寨段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0.869</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726"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Y005441521001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海刘段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1.661</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749"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CC39441521001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后湖段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0.366</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CC39441521002</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后湖段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1.273</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CD75441521001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广移段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0.264</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C183441521001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广高线</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1.143</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C352441521001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大坑村</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1.691</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8</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C192441521001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乌道线</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0.765</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9</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CB18441521001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河汕线至新厝村</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1.209</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10</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Y216441521005</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联下段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0.325</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11</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Y216441521006</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联下段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0.37</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12</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Y005441521002</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海刘段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0.538</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13</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Y215441521001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广新段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0.328</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3.6</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14</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Y215441521002</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广新段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1.765</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3.6</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825"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15</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CC08441521001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海上段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0.889</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870"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16</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CD49441521001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紫围段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0.617</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3.8</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840"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17</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CD50441521001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紫青段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0.484</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3.8</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825"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18</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Y450441521001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长新段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1.427</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795"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19</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Y450441521002</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长新段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0.439</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3.8</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Y450441521003</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长新段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0.186</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3.8</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21</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CC32441521001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楼砖线</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1.477</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22</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CD20441521001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广埔段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1.282</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23</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C147441521001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陈校线</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1.2</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24</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C147441521002</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陈校线</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0.233</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25</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CC45441521001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广埔段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0.693</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26</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C202441521001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广白线</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0.993</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27</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Y372441521003</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紫双段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2.262</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28</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Y254441521003</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竹崎段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1.452</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9</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845"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29</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Y254441521004</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竹崎段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1.116</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30</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Y070441521001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联傅段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0.839</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3.7</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31</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Y070441521002</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联傅段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1.857</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32</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C354441521001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羌黄村</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0.342</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33</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C355441521001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下寮村</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0.133</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34</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C355441521002</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下寮村</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0.222</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734"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CD30441521001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大钳东村</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0.439</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3.9</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704"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36</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CC27441521001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直界村</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0.294</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749"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37</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C091441521001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石洲村</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0.364</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734"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38</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C366441521001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陂仔头村</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0.735</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3.6</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39</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Y396441521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河毛段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2.745</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704"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40</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Y192441521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谷新段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1.327</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7.5</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6.5</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870"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41</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Y192441521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谷新段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1.728</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7.5</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6.5</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930"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42</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CD04441521001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杨厝村</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1.157</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43</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CE03441521001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新村</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0.598</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44</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Y066441521001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黄乌段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0.676</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45</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Y066441521002</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黄乌段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0.095</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46</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Y066441521003</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黄乌段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1.554</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47</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Y066441521004</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黄乌段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0.54</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48</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Y066441521005</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黄乌段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0.551</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49</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Y066441521006</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黄乌段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0.149</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50</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CC84441521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下军田-杨梅一桥</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1.454</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51</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Y089441521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广牛段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0.385</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734"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52</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Y089441521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广牛段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0.854</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5.5</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三级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53</w:t>
            </w:r>
          </w:p>
        </w:tc>
        <w:tc>
          <w:tcPr>
            <w:tcW w:w="51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Y348441521</w:t>
            </w:r>
          </w:p>
        </w:tc>
        <w:tc>
          <w:tcPr>
            <w:tcW w:w="414"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城大段</w:t>
            </w:r>
          </w:p>
        </w:tc>
        <w:tc>
          <w:tcPr>
            <w:tcW w:w="493"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1.389</w:t>
            </w:r>
          </w:p>
        </w:tc>
        <w:tc>
          <w:tcPr>
            <w:tcW w:w="320"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402" w:type="pct"/>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05"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9</w:t>
            </w:r>
          </w:p>
        </w:tc>
        <w:tc>
          <w:tcPr>
            <w:tcW w:w="449" w:type="pct"/>
            <w:shd w:val="clear" w:color="auto" w:fill="auto"/>
            <w:vAlign w:val="center"/>
          </w:tcPr>
          <w:p>
            <w:pPr>
              <w:pStyle w:val="9"/>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48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448"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6</w:t>
            </w:r>
          </w:p>
        </w:tc>
        <w:tc>
          <w:tcPr>
            <w:tcW w:w="432"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水泥混凝土</w:t>
            </w:r>
          </w:p>
        </w:tc>
        <w:tc>
          <w:tcPr>
            <w:tcW w:w="427" w:type="pct"/>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18"/>
                <w:szCs w:val="18"/>
              </w:rPr>
            </w:pPr>
            <w:r>
              <w:rPr>
                <w:rFonts w:hint="eastAsia" w:ascii="宋体" w:hAnsi="宋体" w:eastAsia="宋体" w:cs="宋体"/>
                <w:sz w:val="18"/>
                <w:szCs w:val="18"/>
              </w:rPr>
              <w:t>2023</w:t>
            </w:r>
          </w:p>
        </w:tc>
      </w:tr>
    </w:tbl>
    <w:p>
      <w:pPr>
        <w:rPr>
          <w:rFonts w:hint="eastAsia" w:ascii="宋体" w:hAnsi="宋体" w:eastAsia="宋体" w:cs="宋体"/>
          <w:color w:val="000000"/>
          <w:sz w:val="24"/>
          <w:szCs w:val="24"/>
        </w:rPr>
      </w:pPr>
      <w:r>
        <w:rPr>
          <w:rFonts w:hint="eastAsia" w:ascii="宋体" w:hAnsi="宋体" w:eastAsia="宋体" w:cs="宋体"/>
          <w:color w:val="000000"/>
          <w:sz w:val="24"/>
          <w:szCs w:val="24"/>
        </w:rPr>
        <w:br w:type="page"/>
      </w:r>
    </w:p>
    <w:p>
      <w:pPr>
        <w:keepNext w:val="0"/>
        <w:keepLines w:val="0"/>
        <w:pageBreakBefore w:val="0"/>
        <w:widowControl w:val="0"/>
        <w:kinsoku/>
        <w:wordWrap/>
        <w:overflowPunct/>
        <w:topLinePunct w:val="0"/>
        <w:autoSpaceDE/>
        <w:autoSpaceDN/>
        <w:bidi w:val="0"/>
        <w:adjustRightInd/>
        <w:snapToGrid/>
        <w:spacing w:before="157" w:beforeLines="50" w:line="560" w:lineRule="exact"/>
        <w:ind w:left="0" w:leftChars="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附表5 海丰县“十四五”交通量较大乡、村道改造建设任务表</w:t>
      </w:r>
    </w:p>
    <w:tbl>
      <w:tblPr>
        <w:tblStyle w:val="5"/>
        <w:tblW w:w="850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22"/>
        <w:gridCol w:w="682"/>
        <w:gridCol w:w="682"/>
        <w:gridCol w:w="682"/>
        <w:gridCol w:w="682"/>
        <w:gridCol w:w="682"/>
        <w:gridCol w:w="682"/>
        <w:gridCol w:w="682"/>
        <w:gridCol w:w="682"/>
        <w:gridCol w:w="682"/>
        <w:gridCol w:w="682"/>
        <w:gridCol w:w="681"/>
        <w:gridCol w:w="68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611" w:hRule="atLeast"/>
          <w:tblHeader/>
          <w:jc w:val="center"/>
        </w:trPr>
        <w:tc>
          <w:tcPr>
            <w:tcW w:w="189"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序号</w:t>
            </w:r>
          </w:p>
        </w:tc>
        <w:tc>
          <w:tcPr>
            <w:tcW w:w="401"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路线编码</w:t>
            </w:r>
          </w:p>
        </w:tc>
        <w:tc>
          <w:tcPr>
            <w:tcW w:w="401"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路线名称</w:t>
            </w:r>
          </w:p>
        </w:tc>
        <w:tc>
          <w:tcPr>
            <w:tcW w:w="401"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路段里程</w:t>
            </w:r>
          </w:p>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（公里）</w:t>
            </w:r>
          </w:p>
        </w:tc>
        <w:tc>
          <w:tcPr>
            <w:tcW w:w="401"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技术等级</w:t>
            </w:r>
          </w:p>
        </w:tc>
        <w:tc>
          <w:tcPr>
            <w:tcW w:w="401"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路面宽度</w:t>
            </w:r>
          </w:p>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（米）</w:t>
            </w:r>
          </w:p>
        </w:tc>
        <w:tc>
          <w:tcPr>
            <w:tcW w:w="401"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路基宽度</w:t>
            </w:r>
          </w:p>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（米）</w:t>
            </w:r>
          </w:p>
        </w:tc>
        <w:tc>
          <w:tcPr>
            <w:tcW w:w="401" w:type="pct"/>
            <w:shd w:val="clear" w:color="auto" w:fill="D8D8D8" w:themeFill="background1" w:themeFillShade="D9"/>
            <w:vAlign w:val="center"/>
          </w:tcPr>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改建后</w:t>
            </w:r>
          </w:p>
          <w:p>
            <w:pPr>
              <w:pStyle w:val="9"/>
              <w:spacing w:line="240" w:lineRule="auto"/>
              <w:ind w:firstLine="0" w:firstLineChars="0"/>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技术等级</w:t>
            </w:r>
          </w:p>
        </w:tc>
        <w:tc>
          <w:tcPr>
            <w:tcW w:w="401" w:type="pct"/>
            <w:shd w:val="clear" w:color="auto" w:fill="D8D8D8" w:themeFill="background1" w:themeFillShade="D9"/>
            <w:vAlign w:val="center"/>
          </w:tcPr>
          <w:p>
            <w:pPr>
              <w:widowControl/>
              <w:jc w:val="center"/>
              <w:rPr>
                <w:rFonts w:hint="eastAsia" w:ascii="宋体" w:hAnsi="宋体" w:eastAsia="宋体" w:cs="宋体"/>
                <w:b/>
                <w:bCs/>
                <w:kern w:val="0"/>
                <w:sz w:val="18"/>
                <w:szCs w:val="18"/>
              </w:rPr>
            </w:pPr>
            <w:r>
              <w:rPr>
                <w:rFonts w:hint="eastAsia" w:ascii="宋体" w:hAnsi="宋体" w:eastAsia="宋体" w:cs="宋体"/>
                <w:b/>
                <w:bCs/>
                <w:kern w:val="0"/>
                <w:sz w:val="18"/>
                <w:szCs w:val="18"/>
              </w:rPr>
              <w:t>改建后</w:t>
            </w:r>
          </w:p>
          <w:p>
            <w:pPr>
              <w:widowControl/>
              <w:jc w:val="center"/>
              <w:rPr>
                <w:rFonts w:hint="eastAsia" w:ascii="宋体" w:hAnsi="宋体" w:eastAsia="宋体" w:cs="宋体"/>
                <w:b/>
                <w:bCs/>
                <w:kern w:val="0"/>
                <w:sz w:val="18"/>
                <w:szCs w:val="18"/>
              </w:rPr>
            </w:pPr>
            <w:r>
              <w:rPr>
                <w:rFonts w:hint="eastAsia" w:ascii="宋体" w:hAnsi="宋体" w:eastAsia="宋体" w:cs="宋体"/>
                <w:b/>
                <w:bCs/>
                <w:kern w:val="0"/>
                <w:sz w:val="18"/>
                <w:szCs w:val="18"/>
              </w:rPr>
              <w:t>路面宽度</w:t>
            </w:r>
          </w:p>
        </w:tc>
        <w:tc>
          <w:tcPr>
            <w:tcW w:w="401" w:type="pct"/>
            <w:shd w:val="clear" w:color="auto" w:fill="D8D8D8" w:themeFill="background1" w:themeFillShade="D9"/>
            <w:vAlign w:val="center"/>
          </w:tcPr>
          <w:p>
            <w:pPr>
              <w:widowControl/>
              <w:jc w:val="center"/>
              <w:rPr>
                <w:rFonts w:hint="eastAsia" w:ascii="宋体" w:hAnsi="宋体" w:eastAsia="宋体" w:cs="宋体"/>
                <w:b/>
                <w:bCs/>
                <w:kern w:val="0"/>
                <w:sz w:val="18"/>
                <w:szCs w:val="18"/>
              </w:rPr>
            </w:pPr>
            <w:r>
              <w:rPr>
                <w:rFonts w:hint="eastAsia" w:ascii="宋体" w:hAnsi="宋体" w:eastAsia="宋体" w:cs="宋体"/>
                <w:b/>
                <w:bCs/>
                <w:kern w:val="0"/>
                <w:sz w:val="18"/>
                <w:szCs w:val="18"/>
              </w:rPr>
              <w:t>改建后</w:t>
            </w:r>
          </w:p>
          <w:p>
            <w:pPr>
              <w:widowControl/>
              <w:jc w:val="center"/>
              <w:rPr>
                <w:rFonts w:hint="eastAsia" w:ascii="宋体" w:hAnsi="宋体" w:eastAsia="宋体" w:cs="宋体"/>
                <w:b/>
                <w:bCs/>
                <w:kern w:val="0"/>
                <w:sz w:val="18"/>
                <w:szCs w:val="18"/>
              </w:rPr>
            </w:pPr>
            <w:r>
              <w:rPr>
                <w:rFonts w:hint="eastAsia" w:ascii="宋体" w:hAnsi="宋体" w:eastAsia="宋体" w:cs="宋体"/>
                <w:b/>
                <w:bCs/>
                <w:kern w:val="0"/>
                <w:sz w:val="18"/>
                <w:szCs w:val="18"/>
              </w:rPr>
              <w:t>路基宽度</w:t>
            </w:r>
          </w:p>
        </w:tc>
        <w:tc>
          <w:tcPr>
            <w:tcW w:w="401" w:type="pct"/>
            <w:shd w:val="clear" w:color="auto" w:fill="D8D8D8" w:themeFill="background1" w:themeFillShade="D9"/>
            <w:vAlign w:val="center"/>
          </w:tcPr>
          <w:p>
            <w:pPr>
              <w:widowControl/>
              <w:jc w:val="center"/>
              <w:rPr>
                <w:rFonts w:hint="eastAsia" w:ascii="宋体" w:hAnsi="宋体" w:eastAsia="宋体" w:cs="宋体"/>
                <w:b/>
                <w:bCs/>
                <w:kern w:val="0"/>
                <w:sz w:val="18"/>
                <w:szCs w:val="18"/>
              </w:rPr>
            </w:pPr>
            <w:r>
              <w:rPr>
                <w:rFonts w:hint="eastAsia" w:ascii="宋体" w:hAnsi="宋体" w:eastAsia="宋体" w:cs="宋体"/>
                <w:b/>
                <w:sz w:val="18"/>
                <w:szCs w:val="18"/>
              </w:rPr>
              <w:t>路面类型</w:t>
            </w:r>
          </w:p>
        </w:tc>
        <w:tc>
          <w:tcPr>
            <w:tcW w:w="400" w:type="pct"/>
            <w:shd w:val="clear" w:color="auto" w:fill="D8D8D8" w:themeFill="background1" w:themeFillShade="D9"/>
            <w:vAlign w:val="center"/>
          </w:tcPr>
          <w:p>
            <w:pPr>
              <w:widowControl/>
              <w:jc w:val="center"/>
              <w:rPr>
                <w:rFonts w:hint="eastAsia" w:ascii="宋体" w:hAnsi="宋体" w:eastAsia="宋体" w:cs="宋体"/>
                <w:b/>
                <w:bCs/>
                <w:kern w:val="0"/>
                <w:sz w:val="18"/>
                <w:szCs w:val="18"/>
              </w:rPr>
            </w:pPr>
            <w:r>
              <w:rPr>
                <w:rFonts w:hint="eastAsia" w:ascii="宋体" w:hAnsi="宋体" w:eastAsia="宋体" w:cs="宋体"/>
                <w:b/>
                <w:bCs/>
                <w:kern w:val="0"/>
                <w:sz w:val="18"/>
                <w:szCs w:val="18"/>
              </w:rPr>
              <w:t>拟实施年份</w:t>
            </w:r>
          </w:p>
        </w:tc>
        <w:tc>
          <w:tcPr>
            <w:tcW w:w="400" w:type="pct"/>
            <w:shd w:val="clear" w:color="auto" w:fill="D8D8D8" w:themeFill="background1" w:themeFillShade="D9"/>
            <w:vAlign w:val="center"/>
          </w:tcPr>
          <w:p>
            <w:pPr>
              <w:widowControl/>
              <w:jc w:val="center"/>
              <w:rPr>
                <w:rFonts w:hint="eastAsia" w:ascii="宋体" w:hAnsi="宋体" w:eastAsia="宋体" w:cs="宋体"/>
                <w:b/>
                <w:bCs/>
                <w:kern w:val="0"/>
                <w:sz w:val="18"/>
                <w:szCs w:val="18"/>
              </w:rPr>
            </w:pPr>
            <w:r>
              <w:rPr>
                <w:rFonts w:hint="eastAsia" w:ascii="宋体" w:hAnsi="宋体" w:eastAsia="宋体" w:cs="宋体"/>
                <w:b/>
                <w:bCs/>
                <w:kern w:val="0"/>
                <w:sz w:val="18"/>
                <w:szCs w:val="18"/>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820" w:hRule="atLeast"/>
          <w:jc w:val="center"/>
        </w:trPr>
        <w:tc>
          <w:tcPr>
            <w:tcW w:w="18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40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W693441521</w:t>
            </w:r>
          </w:p>
        </w:tc>
        <w:tc>
          <w:tcPr>
            <w:tcW w:w="40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广汕线至丰山村</w:t>
            </w:r>
          </w:p>
        </w:tc>
        <w:tc>
          <w:tcPr>
            <w:tcW w:w="40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0.489</w:t>
            </w:r>
          </w:p>
        </w:tc>
        <w:tc>
          <w:tcPr>
            <w:tcW w:w="40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401"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4.5</w:t>
            </w:r>
          </w:p>
        </w:tc>
        <w:tc>
          <w:tcPr>
            <w:tcW w:w="40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0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401"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6.5</w:t>
            </w:r>
          </w:p>
        </w:tc>
        <w:tc>
          <w:tcPr>
            <w:tcW w:w="401" w:type="pct"/>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8</w:t>
            </w:r>
          </w:p>
        </w:tc>
        <w:tc>
          <w:tcPr>
            <w:tcW w:w="401" w:type="pct"/>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水泥混凝土</w:t>
            </w:r>
          </w:p>
        </w:tc>
        <w:tc>
          <w:tcPr>
            <w:tcW w:w="400" w:type="pct"/>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2022</w:t>
            </w:r>
          </w:p>
        </w:tc>
        <w:tc>
          <w:tcPr>
            <w:tcW w:w="400" w:type="pct"/>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连接省道S241441521线</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745" w:hRule="atLeast"/>
          <w:jc w:val="center"/>
        </w:trPr>
        <w:tc>
          <w:tcPr>
            <w:tcW w:w="18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40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C309441521</w:t>
            </w:r>
          </w:p>
        </w:tc>
        <w:tc>
          <w:tcPr>
            <w:tcW w:w="40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S510线至汉塘仔村</w:t>
            </w:r>
          </w:p>
        </w:tc>
        <w:tc>
          <w:tcPr>
            <w:tcW w:w="40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1.184</w:t>
            </w:r>
          </w:p>
        </w:tc>
        <w:tc>
          <w:tcPr>
            <w:tcW w:w="40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401"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3.5</w:t>
            </w:r>
          </w:p>
        </w:tc>
        <w:tc>
          <w:tcPr>
            <w:tcW w:w="40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0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401"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6.5</w:t>
            </w:r>
          </w:p>
        </w:tc>
        <w:tc>
          <w:tcPr>
            <w:tcW w:w="401" w:type="pct"/>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8</w:t>
            </w:r>
          </w:p>
        </w:tc>
        <w:tc>
          <w:tcPr>
            <w:tcW w:w="401" w:type="pct"/>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水泥混凝土</w:t>
            </w:r>
          </w:p>
        </w:tc>
        <w:tc>
          <w:tcPr>
            <w:tcW w:w="400" w:type="pct"/>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2022</w:t>
            </w:r>
          </w:p>
        </w:tc>
        <w:tc>
          <w:tcPr>
            <w:tcW w:w="400" w:type="pct"/>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连接省道S510441521线</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57" w:type="dxa"/>
            <w:bottom w:w="0" w:type="dxa"/>
            <w:right w:w="57" w:type="dxa"/>
          </w:tblCellMar>
        </w:tblPrEx>
        <w:trPr>
          <w:trHeight w:val="1029" w:hRule="atLeast"/>
          <w:jc w:val="center"/>
        </w:trPr>
        <w:tc>
          <w:tcPr>
            <w:tcW w:w="189"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w:t>
            </w:r>
          </w:p>
        </w:tc>
        <w:tc>
          <w:tcPr>
            <w:tcW w:w="40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Y302441521</w:t>
            </w:r>
          </w:p>
        </w:tc>
        <w:tc>
          <w:tcPr>
            <w:tcW w:w="40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圆优段</w:t>
            </w:r>
          </w:p>
        </w:tc>
        <w:tc>
          <w:tcPr>
            <w:tcW w:w="40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1.135</w:t>
            </w:r>
          </w:p>
        </w:tc>
        <w:tc>
          <w:tcPr>
            <w:tcW w:w="40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401" w:type="pct"/>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40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401" w:type="pct"/>
            <w:shd w:val="clear" w:color="auto" w:fill="auto"/>
            <w:vAlign w:val="center"/>
          </w:tcPr>
          <w:p>
            <w:pPr>
              <w:pStyle w:val="9"/>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四级</w:t>
            </w:r>
          </w:p>
        </w:tc>
        <w:tc>
          <w:tcPr>
            <w:tcW w:w="401" w:type="pct"/>
            <w:shd w:val="clear" w:color="auto" w:fill="auto"/>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6.5</w:t>
            </w:r>
          </w:p>
        </w:tc>
        <w:tc>
          <w:tcPr>
            <w:tcW w:w="401" w:type="pct"/>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8</w:t>
            </w:r>
          </w:p>
        </w:tc>
        <w:tc>
          <w:tcPr>
            <w:tcW w:w="401" w:type="pct"/>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水泥混凝土</w:t>
            </w:r>
          </w:p>
        </w:tc>
        <w:tc>
          <w:tcPr>
            <w:tcW w:w="400" w:type="pct"/>
            <w:vAlign w:val="center"/>
          </w:tcPr>
          <w:p>
            <w:pPr>
              <w:widowControl/>
              <w:jc w:val="center"/>
              <w:rPr>
                <w:rFonts w:hint="eastAsia" w:ascii="宋体" w:hAnsi="宋体" w:eastAsia="宋体" w:cs="宋体"/>
                <w:sz w:val="18"/>
                <w:szCs w:val="18"/>
              </w:rPr>
            </w:pPr>
            <w:r>
              <w:rPr>
                <w:rFonts w:hint="eastAsia" w:ascii="宋体" w:hAnsi="宋体" w:eastAsia="宋体" w:cs="宋体"/>
                <w:sz w:val="18"/>
                <w:szCs w:val="18"/>
              </w:rPr>
              <w:t>2022</w:t>
            </w:r>
          </w:p>
        </w:tc>
        <w:tc>
          <w:tcPr>
            <w:tcW w:w="400" w:type="pct"/>
            <w:vAlign w:val="center"/>
          </w:tcPr>
          <w:p>
            <w:pPr>
              <w:widowControl/>
              <w:jc w:val="center"/>
              <w:rPr>
                <w:rFonts w:hint="eastAsia" w:ascii="宋体" w:hAnsi="宋体" w:eastAsia="宋体" w:cs="宋体"/>
                <w:sz w:val="18"/>
                <w:szCs w:val="18"/>
              </w:rPr>
            </w:pPr>
          </w:p>
        </w:tc>
      </w:tr>
    </w:tbl>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p>
    <w:p>
      <w:pPr>
        <w:pageBreakBefore w:val="0"/>
        <w:widowControl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color w:val="000000"/>
          <w:sz w:val="24"/>
          <w:szCs w:val="32"/>
        </w:rPr>
      </w:pPr>
    </w:p>
    <w:p/>
    <w:sectPr>
      <w:headerReference r:id="rId3" w:type="first"/>
      <w:footerReference r:id="rId5" w:type="first"/>
      <w:footerReference r:id="rId4" w:type="default"/>
      <w:pgSz w:w="11906" w:h="16611"/>
      <w:pgMar w:top="2608" w:right="1587" w:bottom="1701" w:left="1587" w:header="1757" w:footer="1587" w:gutter="0"/>
      <w:pgBorders>
        <w:top w:val="none" w:sz="0" w:space="0"/>
        <w:left w:val="none" w:sz="0" w:space="0"/>
        <w:bottom w:val="none" w:sz="0" w:space="0"/>
        <w:right w:val="none" w:sz="0" w:space="0"/>
      </w:pgBorders>
      <w:pgNumType w:fmt="numberInDash"/>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mc:AlternateContent>
        <mc:Choice Requires="wps">
          <w:drawing>
            <wp:anchor distT="0" distB="0" distL="114300" distR="114300" simplePos="0" relativeHeight="251659264" behindDoc="0" locked="0" layoutInCell="1" allowOverlap="1">
              <wp:simplePos x="0" y="0"/>
              <wp:positionH relativeFrom="margin">
                <wp:posOffset>5243830</wp:posOffset>
              </wp:positionH>
              <wp:positionV relativeFrom="paragraph">
                <wp:posOffset>0</wp:posOffset>
              </wp:positionV>
              <wp:extent cx="1828800" cy="1828800"/>
              <wp:effectExtent l="0" t="0" r="0" b="0"/>
              <wp:wrapNone/>
              <wp:docPr id="1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rPr>
                              <w:rFonts w:ascii="Times New Roman" w:hAnsi="Times New Roman" w:cs="Times New Roman"/>
                              <w:sz w:val="22"/>
                              <w:szCs w:val="22"/>
                            </w:rPr>
                            <w:fldChar w:fldCharType="begin"/>
                          </w:r>
                          <w:r>
                            <w:rPr>
                              <w:rFonts w:ascii="Times New Roman" w:hAnsi="Times New Roman" w:cs="Times New Roman"/>
                              <w:sz w:val="22"/>
                              <w:szCs w:val="22"/>
                            </w:rPr>
                            <w:instrText xml:space="preserve"> PAGE  \* MERGEFORMAT </w:instrText>
                          </w:r>
                          <w:r>
                            <w:rPr>
                              <w:rFonts w:ascii="Times New Roman" w:hAnsi="Times New Roman" w:cs="Times New Roman"/>
                              <w:sz w:val="22"/>
                              <w:szCs w:val="22"/>
                            </w:rPr>
                            <w:fldChar w:fldCharType="separate"/>
                          </w:r>
                          <w:r>
                            <w:rPr>
                              <w:rFonts w:ascii="Times New Roman" w:hAnsi="Times New Roman" w:cs="Times New Roman"/>
                              <w:sz w:val="22"/>
                              <w:szCs w:val="22"/>
                            </w:rPr>
                            <w:t>- 47 -</w:t>
                          </w:r>
                          <w:r>
                            <w:rPr>
                              <w:rFonts w:ascii="Times New Roman" w:hAnsi="Times New Roman" w:cs="Times New Roman"/>
                              <w:sz w:val="22"/>
                              <w:szCs w:val="22"/>
                            </w:rP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left:412.9pt;margin-top:0pt;height:144pt;width:144pt;mso-position-horizontal-relative:margin;mso-wrap-style:none;z-index:251659264;mso-width-relative:page;mso-height-relative:page;" filled="f" stroked="f" coordsize="21600,21600" o:gfxdata="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UBC/E0wAAAAkBAAAPAAAAAAAAAAEAIAAAACIAAABkcnMvZG93bnJl&#10;di54bWxQSwECFAAUAAAACACHTuJAb+ehfMkBAACaAwAADgAAAAAAAAABACAAAAAiAQAAZHJzL2Uy&#10;b0RvYy54bWxQSwUGAAAAAAYABgBZAQAAXQUAAAAA&#10;">
              <v:fill on="f" focussize="0,0"/>
              <v:stroke on="f"/>
              <v:imagedata o:title=""/>
              <o:lock v:ext="edit" aspectratio="f"/>
              <v:textbox inset="0mm,0mm,0mm,0mm" style="mso-fit-shape-to-text:t;">
                <w:txbxContent>
                  <w:p>
                    <w:pPr>
                      <w:pStyle w:val="3"/>
                    </w:pPr>
                    <w:r>
                      <w:rPr>
                        <w:rFonts w:ascii="Times New Roman" w:hAnsi="Times New Roman" w:cs="Times New Roman"/>
                        <w:sz w:val="22"/>
                        <w:szCs w:val="22"/>
                      </w:rPr>
                      <w:fldChar w:fldCharType="begin"/>
                    </w:r>
                    <w:r>
                      <w:rPr>
                        <w:rFonts w:ascii="Times New Roman" w:hAnsi="Times New Roman" w:cs="Times New Roman"/>
                        <w:sz w:val="22"/>
                        <w:szCs w:val="22"/>
                      </w:rPr>
                      <w:instrText xml:space="preserve"> PAGE  \* MERGEFORMAT </w:instrText>
                    </w:r>
                    <w:r>
                      <w:rPr>
                        <w:rFonts w:ascii="Times New Roman" w:hAnsi="Times New Roman" w:cs="Times New Roman"/>
                        <w:sz w:val="22"/>
                        <w:szCs w:val="22"/>
                      </w:rPr>
                      <w:fldChar w:fldCharType="separate"/>
                    </w:r>
                    <w:r>
                      <w:rPr>
                        <w:rFonts w:ascii="Times New Roman" w:hAnsi="Times New Roman" w:cs="Times New Roman"/>
                        <w:sz w:val="22"/>
                        <w:szCs w:val="22"/>
                      </w:rPr>
                      <w:t>- 47 -</w:t>
                    </w:r>
                    <w:r>
                      <w:rPr>
                        <w:rFonts w:ascii="Times New Roman" w:hAnsi="Times New Roman" w:cs="Times New Roman"/>
                        <w:sz w:val="22"/>
                        <w:szCs w:val="22"/>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mc:AlternateContent>
        <mc:Choice Requires="wps">
          <w:drawing>
            <wp:anchor distT="0" distB="0" distL="114300" distR="114300" simplePos="0" relativeHeight="251660288" behindDoc="0" locked="0" layoutInCell="1" allowOverlap="1">
              <wp:simplePos x="0" y="0"/>
              <wp:positionH relativeFrom="margin">
                <wp:posOffset>5295265</wp:posOffset>
              </wp:positionH>
              <wp:positionV relativeFrom="paragraph">
                <wp:posOffset>0</wp:posOffset>
              </wp:positionV>
              <wp:extent cx="1828800" cy="1828800"/>
              <wp:effectExtent l="0" t="0" r="0" b="0"/>
              <wp:wrapNone/>
              <wp:docPr id="1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jc w:val="right"/>
                          </w:pPr>
                          <w:r>
                            <w:rPr>
                              <w:rFonts w:ascii="Times New Roman" w:hAnsi="Times New Roman" w:cs="Times New Roman"/>
                              <w:sz w:val="22"/>
                              <w:szCs w:val="22"/>
                            </w:rPr>
                            <w:fldChar w:fldCharType="begin"/>
                          </w:r>
                          <w:r>
                            <w:rPr>
                              <w:rFonts w:ascii="Times New Roman" w:hAnsi="Times New Roman" w:cs="Times New Roman"/>
                              <w:sz w:val="22"/>
                              <w:szCs w:val="22"/>
                            </w:rPr>
                            <w:instrText xml:space="preserve"> PAGE  \* MERGEFORMAT </w:instrText>
                          </w:r>
                          <w:r>
                            <w:rPr>
                              <w:rFonts w:ascii="Times New Roman" w:hAnsi="Times New Roman" w:cs="Times New Roman"/>
                              <w:sz w:val="22"/>
                              <w:szCs w:val="22"/>
                            </w:rPr>
                            <w:fldChar w:fldCharType="separate"/>
                          </w:r>
                          <w:r>
                            <w:rPr>
                              <w:rFonts w:ascii="Times New Roman" w:hAnsi="Times New Roman" w:cs="Times New Roman"/>
                              <w:sz w:val="22"/>
                              <w:szCs w:val="22"/>
                            </w:rPr>
                            <w:t>- 3 -</w:t>
                          </w:r>
                          <w:r>
                            <w:rPr>
                              <w:rFonts w:ascii="Times New Roman" w:hAnsi="Times New Roman" w:cs="Times New Roman"/>
                              <w:sz w:val="22"/>
                              <w:szCs w:val="22"/>
                            </w:rP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left:416.95pt;margin-top:0pt;height:144pt;width:144pt;mso-position-horizontal-relative:margin;mso-wrap-style:none;z-index:251660288;mso-width-relative:page;mso-height-relative:page;" filled="f" stroked="f" coordsize="21600,21600" o:gfxdata="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AjBDbdQAAAAJAQAADwAAAAAAAAABACAAAAAiAAAAZHJzL2Rvd25y&#10;ZXYueG1sUEsBAhQAFAAAAAgAh07iQH3G3hLJAQAAmgMAAA4AAAAAAAAAAQAgAAAAIwEAAGRycy9l&#10;Mm9Eb2MueG1sUEsFBgAAAAAGAAYAWQEAAF4FAAAAAA==&#10;">
              <v:fill on="f" focussize="0,0"/>
              <v:stroke on="f"/>
              <v:imagedata o:title=""/>
              <o:lock v:ext="edit" aspectratio="f"/>
              <v:textbox inset="0mm,0mm,0mm,0mm" style="mso-fit-shape-to-text:t;">
                <w:txbxContent>
                  <w:p>
                    <w:pPr>
                      <w:pStyle w:val="3"/>
                      <w:jc w:val="right"/>
                    </w:pPr>
                    <w:r>
                      <w:rPr>
                        <w:rFonts w:ascii="Times New Roman" w:hAnsi="Times New Roman" w:cs="Times New Roman"/>
                        <w:sz w:val="22"/>
                        <w:szCs w:val="22"/>
                      </w:rPr>
                      <w:fldChar w:fldCharType="begin"/>
                    </w:r>
                    <w:r>
                      <w:rPr>
                        <w:rFonts w:ascii="Times New Roman" w:hAnsi="Times New Roman" w:cs="Times New Roman"/>
                        <w:sz w:val="22"/>
                        <w:szCs w:val="22"/>
                      </w:rPr>
                      <w:instrText xml:space="preserve"> PAGE  \* MERGEFORMAT </w:instrText>
                    </w:r>
                    <w:r>
                      <w:rPr>
                        <w:rFonts w:ascii="Times New Roman" w:hAnsi="Times New Roman" w:cs="Times New Roman"/>
                        <w:sz w:val="22"/>
                        <w:szCs w:val="22"/>
                      </w:rPr>
                      <w:fldChar w:fldCharType="separate"/>
                    </w:r>
                    <w:r>
                      <w:rPr>
                        <w:rFonts w:ascii="Times New Roman" w:hAnsi="Times New Roman" w:cs="Times New Roman"/>
                        <w:sz w:val="22"/>
                        <w:szCs w:val="22"/>
                      </w:rPr>
                      <w:t>- 3 -</w:t>
                    </w:r>
                    <w:r>
                      <w:rPr>
                        <w:rFonts w:ascii="Times New Roman" w:hAnsi="Times New Roman" w:cs="Times New Roman"/>
                        <w:sz w:val="22"/>
                        <w:szCs w:val="22"/>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pPr>
    <w:r>
      <w:rPr>
        <w:rFonts w:hint="eastAsia"/>
      </w:rPr>
      <w:t xml:space="preserve">海丰县人民政府公报                                   </w:t>
    </w:r>
    <w:r>
      <w:rPr>
        <w:rFonts w:hint="eastAsia"/>
        <w:lang w:val="en-US" w:eastAsia="zh-CN"/>
      </w:rPr>
      <w:t xml:space="preserve">                          </w:t>
    </w:r>
    <w:r>
      <w:rPr>
        <w:rFonts w:hint="eastAsia"/>
      </w:rPr>
      <w:t xml:space="preserve">   2023年第</w:t>
    </w:r>
    <w:r>
      <w:rPr>
        <w:rFonts w:hint="eastAsia"/>
        <w:lang w:val="en-US" w:eastAsia="zh-CN"/>
      </w:rPr>
      <w:t>9</w:t>
    </w:r>
    <w:r>
      <w:rPr>
        <w:rFonts w:hint="eastAsia"/>
      </w:rPr>
      <w:t>期</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NmMTU2N2FhZTBiY2EzZmY0NzU5MTBlOTg4M2ZjMDEifQ=="/>
  </w:docVars>
  <w:rsids>
    <w:rsidRoot w:val="5D082B77"/>
    <w:rsid w:val="14A7639D"/>
    <w:rsid w:val="5D082B77"/>
    <w:rsid w:val="657500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adjustRightInd w:val="0"/>
      <w:spacing w:before="100" w:beforeAutospacing="1" w:after="100" w:afterAutospacing="1" w:line="560" w:lineRule="exact"/>
      <w:jc w:val="center"/>
      <w:outlineLvl w:val="0"/>
    </w:pPr>
    <w:rPr>
      <w:rFonts w:eastAsia="方正小标宋简体"/>
      <w:bCs/>
      <w:kern w:val="44"/>
      <w:sz w:val="44"/>
      <w:szCs w:val="44"/>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默认段落字体1"/>
    <w:link w:val="1"/>
    <w:semiHidden/>
    <w:qFormat/>
    <w:uiPriority w:val="0"/>
    <w:rPr>
      <w:rFonts w:eastAsia="仿宋"/>
      <w:sz w:val="32"/>
      <w:szCs w:val="32"/>
    </w:rPr>
  </w:style>
  <w:style w:type="paragraph" w:customStyle="1" w:styleId="9">
    <w:name w:val="正文-论文"/>
    <w:basedOn w:val="1"/>
    <w:qFormat/>
    <w:uiPriority w:val="99"/>
    <w:pPr>
      <w:spacing w:line="360" w:lineRule="auto"/>
      <w:ind w:firstLine="200" w:firstLineChars="200"/>
    </w:pPr>
    <w:rPr>
      <w:rFonts w:eastAsiaTheme="minorEastAsia"/>
      <w:color w:val="000000"/>
      <w:sz w:val="28"/>
      <w:szCs w:val="24"/>
    </w:rPr>
  </w:style>
  <w:style w:type="paragraph" w:customStyle="1" w:styleId="10">
    <w:name w:val="备注"/>
    <w:basedOn w:val="1"/>
    <w:qFormat/>
    <w:uiPriority w:val="0"/>
    <w:pPr>
      <w:tabs>
        <w:tab w:val="left" w:pos="120"/>
      </w:tabs>
      <w:jc w:val="left"/>
    </w:pPr>
    <w:rPr>
      <w:rFonts w:ascii="楷体" w:hAnsi="楷体" w:eastAsia="楷体" w:cs="宋体"/>
      <w:kern w:val="0"/>
      <w:sz w:val="21"/>
      <w:szCs w:val="30"/>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chart" Target="charts/chart9.xml"/><Relationship Id="rId28" Type="http://schemas.openxmlformats.org/officeDocument/2006/relationships/chart" Target="charts/chart8.xml"/><Relationship Id="rId27" Type="http://schemas.openxmlformats.org/officeDocument/2006/relationships/chart" Target="charts/chart7.xml"/><Relationship Id="rId26" Type="http://schemas.openxmlformats.org/officeDocument/2006/relationships/chart" Target="charts/chart6.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8212;&#8212;&#21313;&#22235;&#20116;&#32508;&#21512;&#20132;&#36890;&#35268;&#21010;\&#28023;&#20016;&#21439;&#21313;&#22235;&#20116;&#35268;&#21010;\&#28023;&#20016;2015-2020&#31038;&#20250;&#32463;&#27982;&#24773;&#20917;.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8212;&#8212;&#21313;&#22235;&#20116;&#32508;&#21512;&#20132;&#36890;&#35268;&#21010;\&#28023;&#20016;&#21439;&#21313;&#22235;&#20116;&#35268;&#21010;\&#28023;&#20016;2015-2020&#31038;&#20250;&#32463;&#27982;&#24773;&#20917;.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8212;&#8212;&#21313;&#22235;&#20116;&#32508;&#21512;&#20132;&#36890;&#35268;&#21010;\&#28023;&#20016;&#21439;&#21313;&#22235;&#20116;&#35268;&#21010;\&#28023;&#20016;&#21608;&#36793;&#21306;&#21439;2020&#32463;&#27982;&#24773;&#20917;.xlsx" TargetMode="External"/></Relationships>
</file>

<file path=word/charts/_rels/chart4.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oleObject" Target="file:///F:\&#8212;&#8212;&#21313;&#22235;&#20116;&#32508;&#21512;&#20132;&#36890;&#35268;&#21010;\&#28023;&#20016;&#21439;&#21313;&#22235;&#20116;&#35268;&#21010;\&#28023;&#20016;&#21608;&#36793;&#21306;&#21439;2020&#32463;&#27982;&#24773;&#20917;.xlsx" TargetMode="External"/></Relationships>
</file>

<file path=word/charts/_rels/chart5.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3.xml"/><Relationship Id="rId1" Type="http://schemas.openxmlformats.org/officeDocument/2006/relationships/oleObject" Target="file:///F:\&#8212;&#8212;&#21313;&#22235;&#20116;&#32508;&#21512;&#20132;&#36890;&#35268;&#21010;\&#28023;&#20016;&#21439;&#21313;&#22235;&#20116;&#35268;&#21010;\&#28023;&#20016;&#21608;&#36793;&#21306;&#21439;2020&#32463;&#27982;&#24773;&#209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Backup\&#26700;&#38754;\&#28023;&#20016;&#21313;&#22235;&#20116;\&#28023;&#20016;&#21439;&#8220;&#21313;&#22235;&#20116;&#8221;&#32508;&#21512;&#20132;&#36890;&#36816;&#36755;&#35268;&#21010;&#24314;&#35774;&#20132;&#36890;&#39033;&#30446;&#34920;.xls" TargetMode="External"/></Relationships>
</file>

<file path=word/charts/_rels/chart7.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oleObject" Target="file:///D:\Backup\&#26700;&#38754;\&#28023;&#20016;&#21313;&#22235;&#20116;\&#28023;&#20016;&#21439;&#8220;&#21313;&#22235;&#20116;&#8221;&#32508;&#21512;&#20132;&#36890;&#36816;&#36755;&#35268;&#21010;&#24314;&#35774;&#20132;&#36890;&#39033;&#30446;&#34920;.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Backup\&#26700;&#38754;\&#28023;&#20016;&#21313;&#22235;&#20116;\&#28023;&#20016;&#21439;&#8220;&#21313;&#22235;&#20116;&#8221;&#32508;&#21512;&#20132;&#36890;&#36816;&#36755;&#35268;&#21010;&#24314;&#35774;&#20132;&#36890;&#39033;&#30446;&#34920;.xls" TargetMode="External"/></Relationships>
</file>

<file path=word/charts/_rels/chart9.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Backup\&#26700;&#38754;\&#28023;&#20016;&#21313;&#22235;&#20116;\&#28023;&#20016;&#21439;&#8220;&#21313;&#22235;&#20116;&#8221;&#32508;&#21512;&#20132;&#36890;&#36816;&#36755;&#35268;&#21010;&#24314;&#35774;&#20132;&#36890;&#39033;&#30446;&#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Sheet1!$B$6</c:f>
              <c:strCache>
                <c:ptCount val="1"/>
                <c:pt idx="0">
                  <c:v>地区生产总值（亿元）</c:v>
                </c:pt>
              </c:strCache>
            </c:strRef>
          </c:tx>
          <c:spPr>
            <a:gradFill>
              <a:gsLst>
                <a:gs pos="0">
                  <a:schemeClr val="accent1">
                    <a:lumMod val="75000"/>
                  </a:schemeClr>
                </a:gs>
                <a:gs pos="100000">
                  <a:schemeClr val="accent1">
                    <a:alpha val="0"/>
                  </a:schemeClr>
                </a:gs>
              </a:gsLst>
              <a:lin ang="54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Sheet1!$C$5:$H$5</c:f>
              <c:numCache>
                <c:formatCode>General</c:formatCode>
                <c:ptCount val="6"/>
                <c:pt idx="0">
                  <c:v>2015</c:v>
                </c:pt>
                <c:pt idx="1">
                  <c:v>2016</c:v>
                </c:pt>
                <c:pt idx="2">
                  <c:v>2017</c:v>
                </c:pt>
                <c:pt idx="3">
                  <c:v>2018</c:v>
                </c:pt>
                <c:pt idx="4">
                  <c:v>2019</c:v>
                </c:pt>
                <c:pt idx="5">
                  <c:v>2020</c:v>
                </c:pt>
              </c:numCache>
            </c:numRef>
          </c:cat>
          <c:val>
            <c:numRef>
              <c:f>Sheet1!$C$6:$H$6</c:f>
              <c:numCache>
                <c:formatCode>0.0</c:formatCode>
                <c:ptCount val="6"/>
                <c:pt idx="0">
                  <c:v>270.5</c:v>
                </c:pt>
                <c:pt idx="1">
                  <c:v>295.1</c:v>
                </c:pt>
                <c:pt idx="2">
                  <c:v>292.3</c:v>
                </c:pt>
                <c:pt idx="3">
                  <c:v>313.8</c:v>
                </c:pt>
                <c:pt idx="4">
                  <c:v>336.8</c:v>
                </c:pt>
                <c:pt idx="5">
                  <c:v>349.8</c:v>
                </c:pt>
              </c:numCache>
            </c:numRef>
          </c:val>
        </c:ser>
        <c:dLbls>
          <c:showLegendKey val="0"/>
          <c:showVal val="1"/>
          <c:showCatName val="0"/>
          <c:showSerName val="0"/>
          <c:showPercent val="0"/>
          <c:showBubbleSize val="0"/>
        </c:dLbls>
        <c:gapWidth val="150"/>
        <c:axId val="1592923664"/>
        <c:axId val="1592916592"/>
      </c:barChart>
      <c:lineChart>
        <c:grouping val="standard"/>
        <c:varyColors val="0"/>
        <c:ser>
          <c:idx val="1"/>
          <c:order val="1"/>
          <c:tx>
            <c:strRef>
              <c:f>Sheet1!$B$7</c:f>
              <c:strCache>
                <c:ptCount val="1"/>
                <c:pt idx="0">
                  <c:v>生产总值增速（%）</c:v>
                </c:pt>
              </c:strCache>
            </c:strRef>
          </c:tx>
          <c:spPr>
            <a:ln w="22225" cap="rnd">
              <a:solidFill>
                <a:srgbClr val="C0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Sheet1!$C$5:$H$5</c:f>
              <c:numCache>
                <c:formatCode>General</c:formatCode>
                <c:ptCount val="6"/>
                <c:pt idx="0">
                  <c:v>2015</c:v>
                </c:pt>
                <c:pt idx="1">
                  <c:v>2016</c:v>
                </c:pt>
                <c:pt idx="2">
                  <c:v>2017</c:v>
                </c:pt>
                <c:pt idx="3">
                  <c:v>2018</c:v>
                </c:pt>
                <c:pt idx="4">
                  <c:v>2019</c:v>
                </c:pt>
                <c:pt idx="5">
                  <c:v>2020</c:v>
                </c:pt>
              </c:numCache>
            </c:numRef>
          </c:cat>
          <c:val>
            <c:numRef>
              <c:f>Sheet1!$C$7:$H$7</c:f>
              <c:numCache>
                <c:formatCode>0.0</c:formatCode>
                <c:ptCount val="6"/>
                <c:pt idx="0">
                  <c:v>12.1</c:v>
                </c:pt>
                <c:pt idx="1">
                  <c:v>7</c:v>
                </c:pt>
                <c:pt idx="2">
                  <c:v>8.9</c:v>
                </c:pt>
                <c:pt idx="3">
                  <c:v>8.2</c:v>
                </c:pt>
                <c:pt idx="4">
                  <c:v>7</c:v>
                </c:pt>
                <c:pt idx="5">
                  <c:v>5.1</c:v>
                </c:pt>
              </c:numCache>
            </c:numRef>
          </c:val>
          <c:smooth val="0"/>
        </c:ser>
        <c:dLbls>
          <c:showLegendKey val="0"/>
          <c:showVal val="1"/>
          <c:showCatName val="0"/>
          <c:showSerName val="0"/>
          <c:showPercent val="0"/>
          <c:showBubbleSize val="0"/>
        </c:dLbls>
        <c:marker val="0"/>
        <c:smooth val="0"/>
        <c:axId val="1592919504"/>
        <c:axId val="1592919088"/>
      </c:lineChart>
      <c:catAx>
        <c:axId val="159292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92916592"/>
        <c:crosses val="autoZero"/>
        <c:auto val="1"/>
        <c:lblAlgn val="ctr"/>
        <c:lblOffset val="100"/>
        <c:noMultiLvlLbl val="0"/>
      </c:catAx>
      <c:valAx>
        <c:axId val="15929165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92923664"/>
        <c:crosses val="autoZero"/>
        <c:crossBetween val="between"/>
      </c:valAx>
      <c:catAx>
        <c:axId val="1592919504"/>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92919088"/>
        <c:crosses val="autoZero"/>
        <c:auto val="1"/>
        <c:lblAlgn val="ctr"/>
        <c:lblOffset val="100"/>
        <c:noMultiLvlLbl val="0"/>
      </c:catAx>
      <c:valAx>
        <c:axId val="1592919088"/>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92919504"/>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Sheet1!$B$12</c:f>
              <c:strCache>
                <c:ptCount val="1"/>
                <c:pt idx="0">
                  <c:v>第一产业</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Sheet1!$C$11:$H$11</c:f>
              <c:numCache>
                <c:formatCode>General</c:formatCode>
                <c:ptCount val="6"/>
                <c:pt idx="0">
                  <c:v>2015</c:v>
                </c:pt>
                <c:pt idx="1">
                  <c:v>2016</c:v>
                </c:pt>
                <c:pt idx="2">
                  <c:v>2017</c:v>
                </c:pt>
                <c:pt idx="3">
                  <c:v>2018</c:v>
                </c:pt>
                <c:pt idx="4">
                  <c:v>2019</c:v>
                </c:pt>
                <c:pt idx="5">
                  <c:v>2020</c:v>
                </c:pt>
              </c:numCache>
            </c:numRef>
          </c:cat>
          <c:val>
            <c:numRef>
              <c:f>Sheet1!$C$12:$H$12</c:f>
              <c:numCache>
                <c:formatCode>0.0</c:formatCode>
                <c:ptCount val="6"/>
                <c:pt idx="0">
                  <c:v>12.1</c:v>
                </c:pt>
                <c:pt idx="1">
                  <c:v>12</c:v>
                </c:pt>
                <c:pt idx="2">
                  <c:v>10.4</c:v>
                </c:pt>
                <c:pt idx="3">
                  <c:v>10.4</c:v>
                </c:pt>
                <c:pt idx="4">
                  <c:v>10.8</c:v>
                </c:pt>
                <c:pt idx="5">
                  <c:v>11</c:v>
                </c:pt>
              </c:numCache>
            </c:numRef>
          </c:val>
        </c:ser>
        <c:ser>
          <c:idx val="1"/>
          <c:order val="1"/>
          <c:tx>
            <c:strRef>
              <c:f>Sheet1!$B$13</c:f>
              <c:strCache>
                <c:ptCount val="1"/>
                <c:pt idx="0">
                  <c:v>第二产业</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Sheet1!$C$11:$H$11</c:f>
              <c:numCache>
                <c:formatCode>General</c:formatCode>
                <c:ptCount val="6"/>
                <c:pt idx="0">
                  <c:v>2015</c:v>
                </c:pt>
                <c:pt idx="1">
                  <c:v>2016</c:v>
                </c:pt>
                <c:pt idx="2">
                  <c:v>2017</c:v>
                </c:pt>
                <c:pt idx="3">
                  <c:v>2018</c:v>
                </c:pt>
                <c:pt idx="4">
                  <c:v>2019</c:v>
                </c:pt>
                <c:pt idx="5">
                  <c:v>2020</c:v>
                </c:pt>
              </c:numCache>
            </c:numRef>
          </c:cat>
          <c:val>
            <c:numRef>
              <c:f>Sheet1!$C$13:$H$13</c:f>
              <c:numCache>
                <c:formatCode>0.0</c:formatCode>
                <c:ptCount val="6"/>
                <c:pt idx="0">
                  <c:v>47.6</c:v>
                </c:pt>
                <c:pt idx="1">
                  <c:v>47.3</c:v>
                </c:pt>
                <c:pt idx="2">
                  <c:v>47.7</c:v>
                </c:pt>
                <c:pt idx="3">
                  <c:v>43.2</c:v>
                </c:pt>
                <c:pt idx="4">
                  <c:v>44</c:v>
                </c:pt>
                <c:pt idx="5">
                  <c:v>45</c:v>
                </c:pt>
              </c:numCache>
            </c:numRef>
          </c:val>
        </c:ser>
        <c:ser>
          <c:idx val="2"/>
          <c:order val="2"/>
          <c:tx>
            <c:strRef>
              <c:f>Sheet1!$B$14</c:f>
              <c:strCache>
                <c:ptCount val="1"/>
                <c:pt idx="0">
                  <c:v>第三产业</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Sheet1!$C$11:$H$11</c:f>
              <c:numCache>
                <c:formatCode>General</c:formatCode>
                <c:ptCount val="6"/>
                <c:pt idx="0">
                  <c:v>2015</c:v>
                </c:pt>
                <c:pt idx="1">
                  <c:v>2016</c:v>
                </c:pt>
                <c:pt idx="2">
                  <c:v>2017</c:v>
                </c:pt>
                <c:pt idx="3">
                  <c:v>2018</c:v>
                </c:pt>
                <c:pt idx="4">
                  <c:v>2019</c:v>
                </c:pt>
                <c:pt idx="5">
                  <c:v>2020</c:v>
                </c:pt>
              </c:numCache>
            </c:numRef>
          </c:cat>
          <c:val>
            <c:numRef>
              <c:f>Sheet1!$C$14:$H$14</c:f>
              <c:numCache>
                <c:formatCode>0.0</c:formatCode>
                <c:ptCount val="6"/>
                <c:pt idx="0">
                  <c:v>40.3</c:v>
                </c:pt>
                <c:pt idx="1">
                  <c:v>40.7</c:v>
                </c:pt>
                <c:pt idx="2">
                  <c:v>41.9</c:v>
                </c:pt>
                <c:pt idx="3">
                  <c:v>46.4</c:v>
                </c:pt>
                <c:pt idx="4">
                  <c:v>45.2</c:v>
                </c:pt>
                <c:pt idx="5">
                  <c:v>44</c:v>
                </c:pt>
              </c:numCache>
            </c:numRef>
          </c:val>
        </c:ser>
        <c:dLbls>
          <c:showLegendKey val="0"/>
          <c:showVal val="1"/>
          <c:showCatName val="0"/>
          <c:showSerName val="0"/>
          <c:showPercent val="0"/>
          <c:showBubbleSize val="0"/>
        </c:dLbls>
        <c:gapWidth val="150"/>
        <c:overlap val="100"/>
        <c:axId val="1742254992"/>
        <c:axId val="1742251664"/>
      </c:barChart>
      <c:catAx>
        <c:axId val="174225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51664"/>
        <c:crosses val="autoZero"/>
        <c:auto val="1"/>
        <c:lblAlgn val="ctr"/>
        <c:lblOffset val="100"/>
        <c:noMultiLvlLbl val="0"/>
      </c:catAx>
      <c:valAx>
        <c:axId val="1742251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549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Sheet1!$B$6</c:f>
              <c:strCache>
                <c:ptCount val="1"/>
                <c:pt idx="0">
                  <c:v>地区生产总值（亿元）</c:v>
                </c:pt>
              </c:strCache>
            </c:strRef>
          </c:tx>
          <c:spPr>
            <a:gradFill>
              <a:gsLst>
                <a:gs pos="0">
                  <a:schemeClr val="accent1">
                    <a:lumMod val="75000"/>
                  </a:schemeClr>
                </a:gs>
                <a:gs pos="100000">
                  <a:schemeClr val="accent1">
                    <a:alpha val="0"/>
                  </a:schemeClr>
                </a:gs>
              </a:gsLst>
              <a:lin ang="54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Sheet1!$C$5:$F$5</c:f>
              <c:strCache>
                <c:ptCount val="4"/>
                <c:pt idx="0">
                  <c:v>城区</c:v>
                </c:pt>
                <c:pt idx="1">
                  <c:v>陆丰市</c:v>
                </c:pt>
                <c:pt idx="2">
                  <c:v>海丰县</c:v>
                </c:pt>
                <c:pt idx="3">
                  <c:v>陆河县</c:v>
                </c:pt>
              </c:strCache>
            </c:strRef>
          </c:cat>
          <c:val>
            <c:numRef>
              <c:f>Sheet1!$C$6:$F$6</c:f>
              <c:numCache>
                <c:formatCode>General</c:formatCode>
                <c:ptCount val="4"/>
                <c:pt idx="0">
                  <c:v>320.25</c:v>
                </c:pt>
                <c:pt idx="1">
                  <c:v>364.71</c:v>
                </c:pt>
                <c:pt idx="2">
                  <c:v>349.77</c:v>
                </c:pt>
                <c:pt idx="3">
                  <c:v>89.09</c:v>
                </c:pt>
              </c:numCache>
            </c:numRef>
          </c:val>
        </c:ser>
        <c:dLbls>
          <c:showLegendKey val="0"/>
          <c:showVal val="1"/>
          <c:showCatName val="0"/>
          <c:showSerName val="0"/>
          <c:showPercent val="0"/>
          <c:showBubbleSize val="0"/>
        </c:dLbls>
        <c:gapWidth val="150"/>
        <c:axId val="1592923664"/>
        <c:axId val="1592916592"/>
      </c:barChart>
      <c:lineChart>
        <c:grouping val="standard"/>
        <c:varyColors val="0"/>
        <c:ser>
          <c:idx val="1"/>
          <c:order val="1"/>
          <c:tx>
            <c:strRef>
              <c:f>Sheet1!$B$7</c:f>
              <c:strCache>
                <c:ptCount val="1"/>
                <c:pt idx="0">
                  <c:v>人均地区生产总值（元）</c:v>
                </c:pt>
              </c:strCache>
            </c:strRef>
          </c:tx>
          <c:spPr>
            <a:ln w="22225" cap="rnd">
              <a:solidFill>
                <a:srgbClr val="C00000"/>
              </a:solidFill>
              <a:round/>
            </a:ln>
            <a:effectLst/>
          </c:spPr>
          <c:marker>
            <c:symbol val="none"/>
          </c:marker>
          <c:dLbls>
            <c:dLbl>
              <c:idx val="0"/>
              <c:layout>
                <c:manualLayout>
                  <c:x val="-0.0136817622109728"/>
                  <c:y val="-0.0080988054261996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Sheet1!$C$5:$F$5</c:f>
              <c:strCache>
                <c:ptCount val="4"/>
                <c:pt idx="0">
                  <c:v>城区</c:v>
                </c:pt>
                <c:pt idx="1">
                  <c:v>陆丰市</c:v>
                </c:pt>
                <c:pt idx="2">
                  <c:v>海丰县</c:v>
                </c:pt>
                <c:pt idx="3">
                  <c:v>陆河县</c:v>
                </c:pt>
              </c:strCache>
            </c:strRef>
          </c:cat>
          <c:val>
            <c:numRef>
              <c:f>Sheet1!$C$7:$F$7</c:f>
              <c:numCache>
                <c:formatCode>General</c:formatCode>
                <c:ptCount val="4"/>
                <c:pt idx="0">
                  <c:v>70843</c:v>
                </c:pt>
                <c:pt idx="1">
                  <c:v>29383</c:v>
                </c:pt>
                <c:pt idx="2">
                  <c:v>47477</c:v>
                </c:pt>
                <c:pt idx="3">
                  <c:v>35785</c:v>
                </c:pt>
              </c:numCache>
            </c:numRef>
          </c:val>
          <c:smooth val="0"/>
        </c:ser>
        <c:dLbls>
          <c:showLegendKey val="0"/>
          <c:showVal val="1"/>
          <c:showCatName val="0"/>
          <c:showSerName val="0"/>
          <c:showPercent val="0"/>
          <c:showBubbleSize val="0"/>
        </c:dLbls>
        <c:marker val="0"/>
        <c:smooth val="0"/>
        <c:axId val="1592919504"/>
        <c:axId val="1592919088"/>
      </c:lineChart>
      <c:catAx>
        <c:axId val="159292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92916592"/>
        <c:crosses val="autoZero"/>
        <c:auto val="1"/>
        <c:lblAlgn val="ctr"/>
        <c:lblOffset val="100"/>
        <c:noMultiLvlLbl val="0"/>
      </c:catAx>
      <c:valAx>
        <c:axId val="1592916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92923664"/>
        <c:crosses val="autoZero"/>
        <c:crossBetween val="between"/>
      </c:valAx>
      <c:catAx>
        <c:axId val="1592919504"/>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92919088"/>
        <c:crosses val="autoZero"/>
        <c:auto val="1"/>
        <c:lblAlgn val="ctr"/>
        <c:lblOffset val="100"/>
        <c:noMultiLvlLbl val="0"/>
      </c:catAx>
      <c:valAx>
        <c:axId val="1592919088"/>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92919504"/>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0166666666666666"/>
                  <c:y val="0"/>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0555555555555556"/>
                  <c:y val="0.0344810952684968"/>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0833333333333333"/>
                  <c:y val="0.093146870154744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0833333333333333"/>
                  <c:y val="-8.48755627201333e-1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1"/>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Sheet1!$D$40:$H$40</c:f>
              <c:strCache>
                <c:ptCount val="5"/>
                <c:pt idx="0">
                  <c:v>高速公路</c:v>
                </c:pt>
                <c:pt idx="1">
                  <c:v>一级公路</c:v>
                </c:pt>
                <c:pt idx="2">
                  <c:v>二级公路</c:v>
                </c:pt>
                <c:pt idx="3">
                  <c:v>三级公路</c:v>
                </c:pt>
                <c:pt idx="4">
                  <c:v>四级公路</c:v>
                </c:pt>
              </c:strCache>
            </c:strRef>
          </c:cat>
          <c:val>
            <c:numRef>
              <c:f>Sheet1!$D$47:$H$47</c:f>
              <c:numCache>
                <c:formatCode>General</c:formatCode>
                <c:ptCount val="5"/>
                <c:pt idx="0">
                  <c:v>81.67</c:v>
                </c:pt>
                <c:pt idx="1">
                  <c:v>40.36</c:v>
                </c:pt>
                <c:pt idx="2">
                  <c:v>169.42</c:v>
                </c:pt>
                <c:pt idx="3">
                  <c:v>246.4</c:v>
                </c:pt>
                <c:pt idx="4" c:formatCode="#,##0.00">
                  <c:v>1048.02</c:v>
                </c:pt>
              </c:numCache>
            </c:numRef>
          </c:val>
        </c:ser>
        <c:dLbls>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3"/>
              <c:layout>
                <c:manualLayout>
                  <c:x val="0.0277777777777778"/>
                  <c:y val="-0.048192771084337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1"/>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Sheet1!$C$42:$C$46</c:f>
              <c:strCache>
                <c:ptCount val="5"/>
                <c:pt idx="0">
                  <c:v>国道</c:v>
                </c:pt>
                <c:pt idx="1">
                  <c:v>省道</c:v>
                </c:pt>
                <c:pt idx="2">
                  <c:v>县道</c:v>
                </c:pt>
                <c:pt idx="3">
                  <c:v>乡道</c:v>
                </c:pt>
                <c:pt idx="4">
                  <c:v>村道</c:v>
                </c:pt>
              </c:strCache>
            </c:strRef>
          </c:cat>
          <c:val>
            <c:numRef>
              <c:f>Sheet1!$I$42:$I$46</c:f>
              <c:numCache>
                <c:formatCode>General</c:formatCode>
                <c:ptCount val="5"/>
                <c:pt idx="0">
                  <c:v>164.25</c:v>
                </c:pt>
                <c:pt idx="1">
                  <c:v>102.22</c:v>
                </c:pt>
                <c:pt idx="2">
                  <c:v>92.32</c:v>
                </c:pt>
                <c:pt idx="3">
                  <c:v>630.08</c:v>
                </c:pt>
                <c:pt idx="4">
                  <c:v>597.01</c:v>
                </c:pt>
              </c:numCache>
            </c:numRef>
          </c:val>
        </c:ser>
        <c:dLbls>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flip="none" rotWithShape="1">
              <a:gsLst>
                <a:gs pos="0">
                  <a:schemeClr val="accent1">
                    <a:alpha val="0"/>
                  </a:schemeClr>
                </a:gs>
                <a:gs pos="100000">
                  <a:schemeClr val="accent1"/>
                </a:gs>
              </a:gsLst>
              <a:lin ang="0" scaled="1"/>
              <a:tileRect/>
            </a:gradFill>
            <a:ln>
              <a:noFill/>
            </a:ln>
            <a:effectLst/>
          </c:spPr>
          <c:invertIfNegative val="0"/>
          <c:dLbls>
            <c:dLbl>
              <c:idx val="0"/>
              <c:layout/>
              <c:numFmt formatCode="General" sourceLinked="1"/>
              <c:spPr>
                <a:noFill/>
                <a:ln w="25400">
                  <a:noFill/>
                </a:ln>
                <a:effectLst/>
              </c:spPr>
              <c:txPr>
                <a:bodyPr rot="0" spcFirstLastPara="1" vertOverflow="ellipsis" vert="horz" wrap="square" lIns="36000" tIns="19050" rIns="38100" bIns="19050" anchor="ctr" anchorCtr="0">
                  <a:spAutoFit/>
                </a:bodyPr>
                <a:lstStyle/>
                <a:p>
                  <a:pPr algn="ctr">
                    <a:defRPr lang="zh-CN" sz="9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spPr>
              <a:noFill/>
              <a:ln w="25400">
                <a:noFill/>
              </a:ln>
              <a:effectLst/>
            </c:spPr>
            <c:txPr>
              <a:bodyPr rot="0" spcFirstLastPara="1" vertOverflow="ellipsis" vert="horz" wrap="square" lIns="38100" tIns="19050" rIns="38100" bIns="19050" anchor="ctr" anchorCtr="0">
                <a:spAutoFit/>
              </a:bodyPr>
              <a:lstStyle/>
              <a:p>
                <a:pPr algn="ctr">
                  <a:defRPr lang="zh-CN" sz="9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Sheet1!$F$224:$K$224</c:f>
              <c:strCache>
                <c:ptCount val="6"/>
                <c:pt idx="0">
                  <c:v>高快速路</c:v>
                </c:pt>
                <c:pt idx="1">
                  <c:v>国省干线</c:v>
                </c:pt>
                <c:pt idx="2">
                  <c:v>四好农村路</c:v>
                </c:pt>
                <c:pt idx="3">
                  <c:v>公路安全提升及危旧桥改造</c:v>
                </c:pt>
                <c:pt idx="4">
                  <c:v>客货运枢纽及物流</c:v>
                </c:pt>
                <c:pt idx="5">
                  <c:v>公共交通</c:v>
                </c:pt>
              </c:strCache>
            </c:strRef>
          </c:cat>
          <c:val>
            <c:numRef>
              <c:f>Sheet1!$F$225:$K$225</c:f>
              <c:numCache>
                <c:formatCode>General</c:formatCode>
                <c:ptCount val="6"/>
                <c:pt idx="0">
                  <c:v>7</c:v>
                </c:pt>
                <c:pt idx="1">
                  <c:v>11</c:v>
                </c:pt>
                <c:pt idx="2">
                  <c:v>32</c:v>
                </c:pt>
                <c:pt idx="3">
                  <c:v>3</c:v>
                </c:pt>
                <c:pt idx="4">
                  <c:v>3</c:v>
                </c:pt>
                <c:pt idx="5">
                  <c:v>1</c:v>
                </c:pt>
              </c:numCache>
            </c:numRef>
          </c:val>
        </c:ser>
        <c:dLbls>
          <c:showLegendKey val="0"/>
          <c:showVal val="0"/>
          <c:showCatName val="0"/>
          <c:showSerName val="0"/>
          <c:showPercent val="0"/>
          <c:showBubbleSize val="0"/>
        </c:dLbls>
        <c:gapWidth val="150"/>
        <c:axId val="1744149007"/>
        <c:axId val="1"/>
      </c:barChart>
      <c:catAx>
        <c:axId val="17441490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项目数量（个）</a:t>
                </a:r>
                <a:endParaRPr lang="zh-CN" altLang="en-US"/>
              </a:p>
            </c:rich>
          </c:tx>
          <c:layout/>
          <c:overlay val="0"/>
          <c:spPr>
            <a:noFill/>
            <a:ln w="25400">
              <a:noFill/>
            </a:ln>
          </c:spPr>
        </c:title>
        <c:numFmt formatCode="General" sourceLinked="1"/>
        <c:majorTickMark val="none"/>
        <c:minorTickMark val="none"/>
        <c:tickLblPos val="nextTo"/>
        <c:spPr>
          <a:ln w="6350" cap="flat" cmpd="sng" algn="ctr">
            <a:noFill/>
            <a:prstDash val="solid"/>
            <a:round/>
          </a:ln>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4149007"/>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4"/>
              <c:layout>
                <c:manualLayout>
                  <c:x val="-0.0387801107023792"/>
                  <c:y val="0"/>
                </c:manualLayout>
              </c:layout>
              <c:tx>
                <c:rich>
                  <a:bodyPr rot="0" spcFirstLastPara="1"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客货运枢纽及物流5%</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46636876763876"/>
                      <c:h val="0.146701164294955"/>
                    </c:manualLayout>
                  </c15:layout>
                </c:ext>
              </c:extLst>
            </c:dLbl>
            <c:dLbl>
              <c:idx val="5"/>
              <c:layout>
                <c:manualLayout>
                  <c:x val="0.0180294000648542"/>
                  <c:y val="0"/>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w="25400">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Sheet1!$D$251:$I$251</c:f>
              <c:strCache>
                <c:ptCount val="6"/>
                <c:pt idx="0">
                  <c:v>四好农村路</c:v>
                </c:pt>
                <c:pt idx="1">
                  <c:v>国省干线</c:v>
                </c:pt>
                <c:pt idx="2">
                  <c:v>公路安全提升及危旧桥改造</c:v>
                </c:pt>
                <c:pt idx="3">
                  <c:v>高快速路</c:v>
                </c:pt>
                <c:pt idx="4">
                  <c:v>客货运枢纽及物流</c:v>
                </c:pt>
                <c:pt idx="5">
                  <c:v>公共交通</c:v>
                </c:pt>
              </c:strCache>
            </c:strRef>
          </c:cat>
          <c:val>
            <c:numRef>
              <c:f>Sheet1!$D$252:$I$252</c:f>
              <c:numCache>
                <c:formatCode>General</c:formatCode>
                <c:ptCount val="6"/>
                <c:pt idx="0">
                  <c:v>32</c:v>
                </c:pt>
                <c:pt idx="1">
                  <c:v>11</c:v>
                </c:pt>
                <c:pt idx="2">
                  <c:v>3</c:v>
                </c:pt>
                <c:pt idx="3">
                  <c:v>7</c:v>
                </c:pt>
                <c:pt idx="4">
                  <c:v>3</c:v>
                </c:pt>
                <c:pt idx="5">
                  <c:v>1</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5616180620884"/>
          <c:y val="0.0473550473550474"/>
          <c:w val="0.658513640639699"/>
          <c:h val="0.741372141372141"/>
        </c:manualLayout>
      </c:layout>
      <c:barChart>
        <c:barDir val="bar"/>
        <c:grouping val="clustered"/>
        <c:varyColors val="0"/>
        <c:ser>
          <c:idx val="0"/>
          <c:order val="0"/>
          <c:spPr>
            <a:gradFill>
              <a:gsLst>
                <a:gs pos="0">
                  <a:schemeClr val="accent1">
                    <a:alpha val="0"/>
                  </a:schemeClr>
                </a:gs>
                <a:gs pos="100000">
                  <a:schemeClr val="accent1"/>
                </a:gs>
              </a:gsLst>
              <a:lin ang="0" scaled="1"/>
            </a:gradFill>
            <a:ln>
              <a:noFill/>
            </a:ln>
            <a:effectLst/>
          </c:spPr>
          <c:invertIfNegative val="0"/>
          <c:dLbls>
            <c:spPr>
              <a:noFill/>
              <a:ln w="25400">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Sheet1!$F$224:$K$224</c:f>
              <c:strCache>
                <c:ptCount val="6"/>
                <c:pt idx="0">
                  <c:v>高快速路</c:v>
                </c:pt>
                <c:pt idx="1">
                  <c:v>国省干线</c:v>
                </c:pt>
                <c:pt idx="2">
                  <c:v>四好农村路</c:v>
                </c:pt>
                <c:pt idx="3">
                  <c:v>公路安全提升及危旧桥改造</c:v>
                </c:pt>
                <c:pt idx="4">
                  <c:v>客货运枢纽及物流</c:v>
                </c:pt>
                <c:pt idx="5">
                  <c:v>公共交通</c:v>
                </c:pt>
              </c:strCache>
            </c:strRef>
          </c:cat>
          <c:val>
            <c:numRef>
              <c:f>Sheet1!$F$226:$K$226</c:f>
              <c:numCache>
                <c:formatCode>General</c:formatCode>
                <c:ptCount val="6"/>
                <c:pt idx="0">
                  <c:v>4.3</c:v>
                </c:pt>
                <c:pt idx="1">
                  <c:v>33.33</c:v>
                </c:pt>
                <c:pt idx="2">
                  <c:v>21.9</c:v>
                </c:pt>
                <c:pt idx="3">
                  <c:v>0.75</c:v>
                </c:pt>
                <c:pt idx="4" c:formatCode="0.00">
                  <c:v>3.2</c:v>
                </c:pt>
                <c:pt idx="5">
                  <c:v>5</c:v>
                </c:pt>
              </c:numCache>
            </c:numRef>
          </c:val>
        </c:ser>
        <c:dLbls>
          <c:showLegendKey val="0"/>
          <c:showVal val="0"/>
          <c:showCatName val="0"/>
          <c:showSerName val="0"/>
          <c:showPercent val="0"/>
          <c:showBubbleSize val="0"/>
        </c:dLbls>
        <c:gapWidth val="182"/>
        <c:axId val="1744150671"/>
        <c:axId val="1"/>
      </c:barChart>
      <c:catAx>
        <c:axId val="17441506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“十四五”期间投资总额（亿元）</a:t>
                </a:r>
                <a:endParaRPr lang="zh-CN" altLang="en-US"/>
              </a:p>
            </c:rich>
          </c:tx>
          <c:layout/>
          <c:overlay val="0"/>
          <c:spPr>
            <a:noFill/>
            <a:ln w="25400">
              <a:noFill/>
            </a:ln>
          </c:spPr>
        </c:title>
        <c:numFmt formatCode="General" sourceLinked="1"/>
        <c:majorTickMark val="none"/>
        <c:minorTickMark val="none"/>
        <c:tickLblPos val="nextTo"/>
        <c:spPr>
          <a:ln w="6350" cap="flat" cmpd="sng" algn="ctr">
            <a:noFill/>
            <a:prstDash val="solid"/>
            <a:round/>
          </a:ln>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4150671"/>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3"/>
              <c:layout>
                <c:manualLayout>
                  <c:x val="-0.0285755223654737"/>
                  <c:y val="0.15984501670610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0260507190297004"/>
                  <c:y val="0.023442914379827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w="25400">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Sheet1!$F$224:$K$224</c:f>
              <c:strCache>
                <c:ptCount val="6"/>
                <c:pt idx="0">
                  <c:v>高快速路</c:v>
                </c:pt>
                <c:pt idx="1">
                  <c:v>国省干线</c:v>
                </c:pt>
                <c:pt idx="2">
                  <c:v>四好农村路</c:v>
                </c:pt>
                <c:pt idx="3">
                  <c:v>公路安全提升及危旧桥改造</c:v>
                </c:pt>
                <c:pt idx="4">
                  <c:v>客货运枢纽及物流</c:v>
                </c:pt>
                <c:pt idx="5">
                  <c:v>公共交通</c:v>
                </c:pt>
              </c:strCache>
            </c:strRef>
          </c:cat>
          <c:val>
            <c:numRef>
              <c:f>Sheet1!$F$226:$K$226</c:f>
              <c:numCache>
                <c:formatCode>General</c:formatCode>
                <c:ptCount val="6"/>
                <c:pt idx="0">
                  <c:v>4.3</c:v>
                </c:pt>
                <c:pt idx="1">
                  <c:v>33.33</c:v>
                </c:pt>
                <c:pt idx="2">
                  <c:v>21.9</c:v>
                </c:pt>
                <c:pt idx="3">
                  <c:v>0.75</c:v>
                </c:pt>
                <c:pt idx="4" c:formatCode="0.00">
                  <c:v>3.2</c:v>
                </c:pt>
                <c:pt idx="5">
                  <c:v>5</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2023-11-02T03:01:00Z</dcterms:created>
  <dc:creator>HFWGZX</dc:creator>
  <cp:lastModifiedBy>HFWGZX</cp:lastModifiedBy>
  <dcterms:modified xsi:type="dcterms:W3CDTF">2023-11-20T08:16:35Z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8A0A422659FA43759280B1424A857B71_11</vt:lpwstr>
  </property>
</Properties>
</file>