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kern w:val="0"/>
          <w:sz w:val="32"/>
          <w:szCs w:val="32"/>
          <w:lang w:val="en-US" w:eastAsia="zh-CN" w:bidi="ar"/>
        </w:rPr>
      </w:pPr>
      <w:r>
        <w:rPr>
          <w:rFonts w:hint="default" w:eastAsia="黑体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 w:bidi="ar"/>
        </w:rPr>
        <w:t>1</w:t>
      </w:r>
    </w:p>
    <w:p>
      <w:pPr>
        <w:adjustRightInd w:val="0"/>
        <w:snapToGrid w:val="0"/>
        <w:spacing w:line="590" w:lineRule="exact"/>
        <w:ind w:firstLine="210" w:firstLineChars="100"/>
        <w:rPr>
          <w:rFonts w:eastAsia="仿宋_GB2312"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720" w:firstLineChars="200"/>
        <w:jc w:val="center"/>
        <w:rPr>
          <w:rFonts w:hint="default" w:eastAsia="方正小标宋简体"/>
          <w:snapToGrid w:val="0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snapToGrid w:val="0"/>
          <w:kern w:val="0"/>
          <w:sz w:val="36"/>
          <w:szCs w:val="36"/>
          <w:lang w:eastAsia="zh-CN"/>
        </w:rPr>
        <w:t>海丰县城东镇2023年农业产业强镇</w:t>
      </w:r>
      <w:r>
        <w:rPr>
          <w:rFonts w:hint="eastAsia" w:eastAsia="方正小标宋简体"/>
          <w:snapToGrid w:val="0"/>
          <w:kern w:val="0"/>
          <w:sz w:val="36"/>
          <w:szCs w:val="36"/>
          <w:lang w:val="en-US" w:eastAsia="zh-CN"/>
        </w:rPr>
        <w:t>项目</w:t>
      </w:r>
    </w:p>
    <w:p>
      <w:pPr>
        <w:adjustRightInd w:val="0"/>
        <w:snapToGrid w:val="0"/>
        <w:spacing w:line="590" w:lineRule="exact"/>
        <w:ind w:firstLine="720" w:firstLineChars="200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36"/>
          <w:szCs w:val="36"/>
          <w:lang w:eastAsia="zh-CN"/>
        </w:rPr>
        <w:t>建设方案</w:t>
      </w:r>
      <w:r>
        <w:rPr>
          <w:rFonts w:hint="eastAsia" w:eastAsia="方正小标宋简体"/>
          <w:snapToGrid w:val="0"/>
          <w:kern w:val="0"/>
          <w:sz w:val="36"/>
          <w:szCs w:val="36"/>
          <w:lang w:val="en-US" w:eastAsia="zh-CN"/>
        </w:rPr>
        <w:t>申报指南</w:t>
      </w:r>
    </w:p>
    <w:p>
      <w:p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农业农村部办公厅 财政部办公厅《关于公布2023年农业产业融合发展项目创建名单的通知》（农办计财〔2023〕10号）、</w:t>
      </w:r>
      <w:r>
        <w:rPr>
          <w:rFonts w:hint="default" w:eastAsia="仿宋_GB2312"/>
          <w:kern w:val="0"/>
          <w:sz w:val="32"/>
          <w:szCs w:val="32"/>
          <w:lang w:bidi="ar"/>
        </w:rPr>
        <w:t>广东省农业农村厅《2023年农业产业强镇建设项目入库申报指南》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等</w:t>
      </w:r>
      <w:r>
        <w:rPr>
          <w:rFonts w:hint="default" w:eastAsia="仿宋_GB2312"/>
          <w:kern w:val="0"/>
          <w:sz w:val="32"/>
          <w:szCs w:val="32"/>
          <w:lang w:bidi="ar"/>
        </w:rPr>
        <w:t>文件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要求，</w:t>
      </w:r>
      <w:r>
        <w:rPr>
          <w:rFonts w:hint="default" w:eastAsia="仿宋_GB2312"/>
          <w:kern w:val="0"/>
          <w:sz w:val="32"/>
          <w:szCs w:val="32"/>
          <w:lang w:bidi="ar"/>
        </w:rPr>
        <w:t>贯彻落实“百县千镇万村”高质量发展工程决议、助力实施乡村振兴战略、支持发展壮大优势产业、培育乡村产业新业态新模式，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结合我镇发展实际，制定如下指南。</w:t>
      </w:r>
    </w:p>
    <w:p>
      <w:pPr>
        <w:spacing w:line="560" w:lineRule="exact"/>
        <w:ind w:firstLine="720"/>
        <w:jc w:val="left"/>
        <w:outlineLvl w:val="1"/>
        <w:rPr>
          <w:rFonts w:hint="default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一、申报范围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 w:bidi="ar"/>
        </w:rPr>
      </w:pPr>
      <w:r>
        <w:rPr>
          <w:rFonts w:hint="eastAsia" w:eastAsia="仿宋_GB2312"/>
          <w:kern w:val="0"/>
          <w:sz w:val="32"/>
          <w:szCs w:val="32"/>
          <w:lang w:eastAsia="zh-CN" w:bidi="ar"/>
        </w:rPr>
        <w:t>根据省文件要求，以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城东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镇行政区域为建设范围，以传统优势产业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早稻（海丰油占米）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为主导产业申报创建农业产业强镇。</w:t>
      </w:r>
    </w:p>
    <w:p>
      <w:pPr>
        <w:spacing w:line="560" w:lineRule="exact"/>
        <w:ind w:firstLine="720"/>
        <w:jc w:val="left"/>
        <w:outlineLvl w:val="1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二、财政资金支持方向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按照广东省农业农村厅《2023年农业产业强镇建设项目入库申报指南》要求，围绕全镇早稻（海丰油占米）主导产业，明确产业强镇财政补助资金1000万元（“对批准创建的农业产业强镇，采取批准时补助300万元，通过认定时再奖补700万元的方式”），且对财政奖补资金要求：财政奖补资金对企业的投入原则上要带动3倍及以上的社会资本投入主导产业发展。财政资金主要支持以下几个方面，但不限于所列的具体事项：</w:t>
      </w:r>
    </w:p>
    <w:p>
      <w:pPr>
        <w:spacing w:line="560" w:lineRule="exact"/>
        <w:ind w:firstLine="643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 w:bidi="ar"/>
        </w:rPr>
        <w:t>一是壮大农业主导产业。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依托镇域1个优势明显的农业产业，加快全产业链建设，支持建设规模化、标准化、专业化绿色生产基地，扶持发展农产品初加工、精深加工、综合利用，支持建设仓储物流体系，创建区域品牌、产品品牌，培育新业态新模式，构建特色鲜明、布局合理、创业活跃、联农紧密的乡村产业体系，示范引领城乡融合发展。</w:t>
      </w:r>
    </w:p>
    <w:p>
      <w:pPr>
        <w:spacing w:line="560" w:lineRule="exact"/>
        <w:ind w:firstLine="643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 w:bidi="ar"/>
        </w:rPr>
        <w:t>二是培育产业融合主体。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创新产业组织方式，扶持一批管理规范、运营良好、联农带农能力强的农民合作社、家庭农场，培育壮大一批产业基础好、发展前景足、引领动力强的农产品加工企业，发展一批专业水平高、服务能力强、服务行为规范、覆盖农业产业链条的生产性服务组织，打造一批以龙头企业为引领、以合作社和家庭农场为纽带、以农户为基础的农业产业化联合体，增强乡村产业发展的内生动力。</w:t>
      </w:r>
    </w:p>
    <w:p>
      <w:pPr>
        <w:spacing w:line="560" w:lineRule="exact"/>
        <w:ind w:firstLine="643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 w:bidi="ar"/>
        </w:rPr>
        <w:t>三是创新利益联结机制。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鼓励以主导产业发展为切入点，推动龙头企业以乡镇为基地建设加工物流中心，就近就地吸引农民就业、创业，通过产业兴旺实现以产兴村、产镇融合的发展格局。统筹推进农村集体产权制度改革，引导完善股份合作、“保底收益+按股分红”等利益联结机制；创新订单农业等产业融合机制，实现小农户与现代农业的有机衔接，让农户更多分享乡村产业发展红利。</w:t>
      </w:r>
    </w:p>
    <w:p>
      <w:pPr>
        <w:spacing w:line="560" w:lineRule="exact"/>
        <w:ind w:firstLine="643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 w:bidi="ar"/>
        </w:rPr>
        <w:t>四是建立健全体制机制。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鼓励以主导产业发展为切入点，集成政策、集聚要素、集合功能、集中资金，加快建立健全城乡融合发展体制机制和政策体系，统筹推进农村集体产权制度改革、城乡基础设施建设、农村人居环境整治等工作，通过产业兴旺实现以产兴村、产镇融合的发展格局，示范带动农业农村现代化。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财政补助资金不能“撒胡椒面”，不得搞平均分配，避免面面俱到；不得用于楼堂管所、市政道路建设和一般性支出；不得列支管理费；不能用于建设新的追溯系统；不得大量用于基础设施建设、发展休闲农业、购买农药、化肥、种子、地膜等生产资料；不得与高标准农田建设、农机购置补贴等其他中央财政转移支付资金内容有交叉重复。涉及国家现代农业产业园、优势特色产业集群、农业产业强镇布局区域有重合的，使用中央资金叠加投资比例累积不超过20%。</w:t>
      </w:r>
    </w:p>
    <w:p>
      <w:pPr>
        <w:spacing w:line="560" w:lineRule="exact"/>
        <w:ind w:firstLine="720"/>
        <w:jc w:val="left"/>
        <w:outlineLvl w:val="1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三</w:t>
      </w:r>
      <w:r>
        <w:rPr>
          <w:rFonts w:eastAsia="黑体"/>
          <w:kern w:val="0"/>
          <w:sz w:val="32"/>
          <w:szCs w:val="32"/>
        </w:rPr>
        <w:t>、申报材料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要求</w:t>
      </w:r>
    </w:p>
    <w:p>
      <w:p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 w:bidi="ar"/>
        </w:rPr>
      </w:pPr>
      <w:r>
        <w:rPr>
          <w:rFonts w:hint="default" w:eastAsia="仿宋_GB2312"/>
          <w:sz w:val="32"/>
          <w:szCs w:val="32"/>
        </w:rPr>
        <w:t>项目申报单位</w:t>
      </w:r>
      <w:r>
        <w:rPr>
          <w:rFonts w:hint="eastAsia" w:eastAsia="仿宋_GB2312"/>
          <w:sz w:val="32"/>
          <w:szCs w:val="32"/>
          <w:lang w:val="en-US" w:eastAsia="zh-CN"/>
        </w:rPr>
        <w:t>按指南要求撰写好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《海丰县城东镇2023年农业产业强镇项目实施主体基础信息表》及《海丰县城东镇2023年农业产业强镇项目建设方案》</w:t>
      </w:r>
      <w:r>
        <w:rPr>
          <w:rFonts w:hint="eastAsia" w:eastAsia="仿宋_GB2312"/>
          <w:sz w:val="32"/>
          <w:szCs w:val="32"/>
          <w:lang w:val="en-US" w:eastAsia="zh-CN"/>
        </w:rPr>
        <w:t>，明确具体建设内容，具体见附件2。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申报材料</w:t>
      </w:r>
      <w:r>
        <w:rPr>
          <w:rFonts w:hint="default" w:eastAsia="仿宋_GB2312"/>
          <w:kern w:val="0"/>
          <w:sz w:val="32"/>
          <w:szCs w:val="32"/>
          <w:lang w:bidi="ar"/>
        </w:rPr>
        <w:t>合并装订成册。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申报单位对申报材料的真实性、方案的可行性负责，如有虚假必须承担全部责任。</w:t>
      </w:r>
    </w:p>
    <w:p>
      <w:pPr>
        <w:spacing w:line="560" w:lineRule="exact"/>
        <w:ind w:firstLine="720"/>
        <w:jc w:val="left"/>
        <w:outlineLvl w:val="1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四</w:t>
      </w:r>
      <w:r>
        <w:rPr>
          <w:rFonts w:eastAsia="黑体"/>
          <w:kern w:val="0"/>
          <w:sz w:val="32"/>
          <w:szCs w:val="32"/>
        </w:rPr>
        <w:t>、申报时间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及需提交资料</w:t>
      </w:r>
    </w:p>
    <w:p>
      <w:p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bidi="ar"/>
        </w:rPr>
      </w:pPr>
      <w:r>
        <w:rPr>
          <w:rFonts w:hint="default" w:eastAsia="仿宋_GB2312"/>
          <w:kern w:val="0"/>
          <w:sz w:val="32"/>
          <w:szCs w:val="32"/>
          <w:lang w:bidi="ar"/>
        </w:rPr>
        <w:t>本公告自发布之日起至</w:t>
      </w:r>
      <w:r>
        <w:rPr>
          <w:rFonts w:hint="default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default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default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</w:rPr>
        <w:t>0止</w:t>
      </w:r>
      <w:r>
        <w:rPr>
          <w:rFonts w:eastAsia="仿宋_GB2312"/>
          <w:kern w:val="0"/>
          <w:sz w:val="32"/>
          <w:szCs w:val="32"/>
          <w:lang w:bidi="ar"/>
        </w:rPr>
        <w:t>，</w:t>
      </w:r>
      <w:r>
        <w:rPr>
          <w:rFonts w:hint="default" w:eastAsia="仿宋_GB2312"/>
          <w:kern w:val="0"/>
          <w:sz w:val="32"/>
          <w:szCs w:val="32"/>
          <w:lang w:bidi="ar"/>
        </w:rPr>
        <w:t>申报材料</w:t>
      </w:r>
      <w:r>
        <w:rPr>
          <w:rFonts w:hint="default" w:eastAsia="仿宋_GB2312"/>
          <w:sz w:val="32"/>
          <w:szCs w:val="32"/>
        </w:rPr>
        <w:t>一式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default" w:eastAsia="仿宋_GB2312"/>
          <w:sz w:val="32"/>
          <w:szCs w:val="32"/>
        </w:rPr>
        <w:t>份报送至</w:t>
      </w:r>
      <w:r>
        <w:rPr>
          <w:rFonts w:hint="eastAsia" w:eastAsia="仿宋_GB2312"/>
          <w:sz w:val="32"/>
          <w:szCs w:val="32"/>
          <w:lang w:val="en-US" w:eastAsia="zh-CN"/>
        </w:rPr>
        <w:t>镇人民政府</w:t>
      </w:r>
      <w:r>
        <w:rPr>
          <w:rFonts w:hint="default" w:eastAsia="仿宋_GB2312"/>
          <w:sz w:val="32"/>
          <w:szCs w:val="32"/>
        </w:rPr>
        <w:t>农业农村</w:t>
      </w:r>
      <w:r>
        <w:rPr>
          <w:rFonts w:hint="eastAsia" w:eastAsia="仿宋_GB2312"/>
          <w:sz w:val="32"/>
          <w:szCs w:val="32"/>
          <w:lang w:val="en-US" w:eastAsia="zh-CN"/>
        </w:rPr>
        <w:t>办公室</w:t>
      </w:r>
      <w:r>
        <w:rPr>
          <w:rFonts w:hint="default" w:eastAsia="仿宋_GB2312"/>
          <w:sz w:val="32"/>
          <w:szCs w:val="32"/>
        </w:rPr>
        <w:t>；同时提交电子文档一份</w:t>
      </w:r>
      <w:r>
        <w:rPr>
          <w:rFonts w:eastAsia="仿宋_GB2312"/>
          <w:kern w:val="0"/>
          <w:sz w:val="32"/>
          <w:szCs w:val="32"/>
          <w:lang w:bidi="ar"/>
        </w:rPr>
        <w:t>，</w:t>
      </w:r>
      <w:r>
        <w:rPr>
          <w:rFonts w:hint="default" w:eastAsia="仿宋_GB2312"/>
          <w:kern w:val="0"/>
          <w:sz w:val="32"/>
          <w:szCs w:val="32"/>
          <w:lang w:bidi="ar"/>
        </w:rPr>
        <w:t>发送到指定邮箱</w:t>
      </w:r>
      <w:r>
        <w:rPr>
          <w:rFonts w:eastAsia="仿宋_GB2312"/>
          <w:kern w:val="0"/>
          <w:sz w:val="32"/>
          <w:szCs w:val="32"/>
          <w:lang w:bidi="ar"/>
        </w:rPr>
        <w:t>，</w:t>
      </w:r>
      <w:r>
        <w:rPr>
          <w:rFonts w:hint="default" w:eastAsia="仿宋_GB2312"/>
          <w:kern w:val="0"/>
          <w:sz w:val="32"/>
          <w:szCs w:val="32"/>
          <w:lang w:bidi="ar"/>
        </w:rPr>
        <w:t>逾期不予受理。</w:t>
      </w:r>
    </w:p>
    <w:p>
      <w:pPr>
        <w:spacing w:line="560" w:lineRule="exact"/>
        <w:ind w:firstLine="720"/>
        <w:jc w:val="left"/>
        <w:outlineLvl w:val="1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五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联系方式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/>
        </w:rPr>
      </w:pPr>
      <w:r>
        <w:rPr>
          <w:rFonts w:hint="default" w:eastAsia="仿宋_GB2312"/>
          <w:sz w:val="32"/>
          <w:szCs w:val="32"/>
          <w:highlight w:val="none"/>
        </w:rPr>
        <w:t>（一）书面材料报送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地址</w:t>
      </w:r>
      <w:r>
        <w:rPr>
          <w:rFonts w:hint="default" w:eastAsia="仿宋_GB2312"/>
          <w:sz w:val="32"/>
          <w:szCs w:val="32"/>
          <w:highlight w:val="none"/>
        </w:rPr>
        <w:t>：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城东镇人民政府农业农村办公室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highlight w:val="none"/>
          <w:lang w:val="en-US"/>
        </w:rPr>
      </w:pPr>
      <w:r>
        <w:rPr>
          <w:rFonts w:hint="default" w:eastAsia="仿宋_GB2312"/>
          <w:sz w:val="32"/>
          <w:szCs w:val="32"/>
          <w:highlight w:val="none"/>
        </w:rPr>
        <w:t>（二）联系人及电话：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林超略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6400749    </w:t>
      </w:r>
    </w:p>
    <w:p>
      <w:pPr>
        <w:spacing w:line="560" w:lineRule="exact"/>
        <w:rPr>
          <w:rFonts w:hint="default" w:eastAsia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eastAsia="仿宋_GB2312"/>
          <w:sz w:val="32"/>
          <w:szCs w:val="32"/>
          <w:highlight w:val="none"/>
        </w:rPr>
        <w:t xml:space="preserve">    （三）邮箱：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1181706940@qq.com   </w:t>
      </w:r>
    </w:p>
    <w:p>
      <w:pPr>
        <w:pStyle w:val="3"/>
        <w:rPr>
          <w:rFonts w:hint="default"/>
        </w:rPr>
      </w:pPr>
    </w:p>
    <w:p>
      <w:pPr>
        <w:pStyle w:val="4"/>
        <w:rPr>
          <w:rFonts w:hint="default"/>
        </w:rPr>
        <w:sectPr>
          <w:pgSz w:w="11906" w:h="16838"/>
          <w:pgMar w:top="2098" w:right="1531" w:bottom="1984" w:left="1531" w:header="851" w:footer="1134" w:gutter="0"/>
          <w:cols w:space="0" w:num="1"/>
          <w:docGrid w:type="lines" w:linePitch="34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NjUzNzc4ZTdlYWY1ZWVmNDUwYzU5NGE1MDZmMzIifQ=="/>
  </w:docVars>
  <w:rsids>
    <w:rsidRoot w:val="00000000"/>
    <w:rsid w:val="1BD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2023-05-10T09:07:12Z</dcterms:created>
  <dc:creator>lenovo</dc:creator>
  <cp:lastModifiedBy>hh</cp:lastModifiedBy>
  <dcterms:modified xsi:type="dcterms:W3CDTF">2023-05-10T09:07:28Z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A20C58243A25420FBDB13F75A93E4299_12</vt:lpwstr>
  </property>
</Properties>
</file>