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5"/>
        <w:gridCol w:w="4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bookmarkStart w:id="0" w:name="PO_part2Table8Area1"/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20</w:t>
            </w:r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19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年</w:t>
            </w:r>
            <w:bookmarkStart w:id="1" w:name="PO_part2Table8Area2"/>
            <w:r>
              <w:rPr>
                <w:rFonts w:hint="eastAsia" w:ascii="黑体" w:hAnsi="黑体" w:eastAsia="黑体" w:cs="仿宋_GB2312"/>
                <w:kern w:val="0"/>
                <w:sz w:val="36"/>
                <w:szCs w:val="36"/>
                <w:lang w:eastAsia="zh-CN"/>
              </w:rPr>
              <w:t>海丰县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</w:rPr>
              <w:t> </w:t>
            </w:r>
            <w:bookmarkEnd w:id="1"/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</w:rPr>
              <w:t>政府性基金预算支出表（按功能分类项级科目）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一、市（县、区）政府性基金支出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102612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（一）科学技术支出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核电站乏燃料处理处置基金支出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（二）文化体育与传媒支出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国家电影事业发展专项资金安排的支出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（三）社会保障和就业支出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2843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大中型水库移民后期扶持基金支出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2843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移民补助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2843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（四）城乡社区支出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92816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国有土地使用权出让收入及对应专项债务收入安排的支出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74816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征地和拆迁补偿支出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10000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公共租赁住房支出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其他国有土地使用权出让收入安排的支出 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62316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国有土地收益基金及对应专项债务收入安排的支出 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征地和拆迁补偿支出 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500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农业土地开发资金安排的支出 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500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城市基础设施配套费安排的支出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15000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城市公共设施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180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城市环境卫生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5349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其他城市基础设施配套费安排的支出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9471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污水处理费及对应专项债务收入安排的支出 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2000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其他污水处理费安排的支出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2000 </w:t>
            </w:r>
          </w:p>
        </w:tc>
      </w:tr>
    </w:tbl>
    <w:p/>
    <w:p>
      <w:pPr>
        <w:widowControl/>
        <w:jc w:val="left"/>
      </w:pPr>
    </w:p>
    <w:tbl>
      <w:tblPr>
        <w:tblStyle w:val="4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5"/>
        <w:gridCol w:w="4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（六）其他支出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1769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其他政府性基金及对应专项债务收入安排的支出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彩票发行销售机构业务费安排的支出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福利彩票销售机构的业务费支出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体育彩票销售机构的业务费支出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彩票公益金安排的支出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1769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用于社会福利的彩票公益金支出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1269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用于体育事业的彩票公益金支出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用于教育事业的彩票公益金支出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用于残疾人事业的彩票公益金支出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用于城乡医疗救助的彩票公益金支出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用于其他社会公益事业的彩票公益金支出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（七）债务付息支出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5184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地方政府专项债务付息支出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5184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土地储备专项债券付息支出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二、转移性支出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110000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（一）调出资金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政府性基金预算调出资金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（二）政府性基金转移支付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政府性基金补助支出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（三）年终结余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政府性基金年终结余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</w:trPr>
        <w:tc>
          <w:tcPr>
            <w:tcW w:w="4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总支出</w:t>
            </w:r>
          </w:p>
        </w:tc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212612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7E2B"/>
    <w:rsid w:val="00063664"/>
    <w:rsid w:val="00282D43"/>
    <w:rsid w:val="002B0D7A"/>
    <w:rsid w:val="002D6AF1"/>
    <w:rsid w:val="003C3F9A"/>
    <w:rsid w:val="007F3F98"/>
    <w:rsid w:val="00852A7E"/>
    <w:rsid w:val="00CB6549"/>
    <w:rsid w:val="00FD7E2B"/>
    <w:rsid w:val="1CFB5A10"/>
    <w:rsid w:val="7C453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925</Characters>
  <Lines>7</Lines>
  <Paragraphs>2</Paragraphs>
  <TotalTime>16</TotalTime>
  <ScaleCrop>false</ScaleCrop>
  <LinksUpToDate>false</LinksUpToDate>
  <CharactersWithSpaces>1085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2021-05-14T08:27:00Z</dcterms:created>
  <dc:creator>Microsoft</dc:creator>
  <cp:lastModifiedBy>r.C</cp:lastModifiedBy>
  <dcterms:modified xsi:type="dcterms:W3CDTF">2021-07-06T06:27:22Z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0376DC83522C4630ACD3943C64B352CF</vt:lpwstr>
  </property>
</Properties>
</file>